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2B77" w14:textId="426E77D7" w:rsidR="008E45FF" w:rsidRDefault="008A2D13" w:rsidP="008E45FF">
      <w:pPr>
        <w:pStyle w:val="Heading1"/>
      </w:pPr>
      <w:r w:rsidRPr="009A2A44">
        <w:rPr>
          <w:noProof/>
          <w:lang w:eastAsia="en-GB"/>
        </w:rPr>
        <w:drawing>
          <wp:inline distT="0" distB="0" distL="0" distR="0" wp14:anchorId="0B32E214" wp14:editId="6F7EDFEA">
            <wp:extent cx="2590800" cy="558800"/>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558800"/>
                    </a:xfrm>
                    <a:prstGeom prst="rect">
                      <a:avLst/>
                    </a:prstGeom>
                    <a:noFill/>
                    <a:ln>
                      <a:noFill/>
                    </a:ln>
                  </pic:spPr>
                </pic:pic>
              </a:graphicData>
            </a:graphic>
          </wp:inline>
        </w:drawing>
      </w:r>
      <w:r w:rsidR="008E45FF" w:rsidRPr="008E45FF">
        <w:t xml:space="preserve"> </w:t>
      </w:r>
      <w:r w:rsidR="008E45FF">
        <w:tab/>
      </w:r>
      <w:r w:rsidR="008E45FF">
        <w:tab/>
      </w:r>
      <w:r w:rsidR="008E45FF">
        <w:tab/>
      </w:r>
      <w:r w:rsidR="008E45FF">
        <w:tab/>
      </w:r>
      <w:r w:rsidR="008E45FF">
        <w:tab/>
      </w:r>
      <w:r w:rsidR="008E45FF">
        <w:tab/>
      </w:r>
      <w:bookmarkStart w:id="0" w:name="_Hlk184049949"/>
    </w:p>
    <w:p w14:paraId="0A5D8AAD" w14:textId="208E496D" w:rsidR="00CD5CA0" w:rsidRDefault="00CD5CA0" w:rsidP="00CD5CA0"/>
    <w:bookmarkEnd w:id="0"/>
    <w:p w14:paraId="419DCFFF" w14:textId="77777777" w:rsidR="00CD5CA0" w:rsidRDefault="00CD5CA0" w:rsidP="00CD5CA0"/>
    <w:p w14:paraId="5E415438" w14:textId="77777777" w:rsidR="00CD5CA0" w:rsidRDefault="00CD5CA0" w:rsidP="00CD5CA0">
      <w:pPr>
        <w:jc w:val="both"/>
        <w:rPr>
          <w:b/>
        </w:rPr>
      </w:pPr>
    </w:p>
    <w:p w14:paraId="0B48E421" w14:textId="0B4B5057" w:rsidR="00CD5CA0" w:rsidRPr="00ED5AD0" w:rsidRDefault="00CD5CA0" w:rsidP="00CD5CA0">
      <w:pPr>
        <w:jc w:val="both"/>
        <w:rPr>
          <w:b/>
          <w:sz w:val="28"/>
          <w:szCs w:val="28"/>
        </w:rPr>
      </w:pPr>
      <w:r w:rsidRPr="00ED5AD0">
        <w:rPr>
          <w:b/>
          <w:sz w:val="28"/>
          <w:szCs w:val="28"/>
        </w:rPr>
        <w:t>Report to:</w:t>
      </w:r>
      <w:r w:rsidRPr="00ED5AD0">
        <w:rPr>
          <w:b/>
          <w:sz w:val="28"/>
          <w:szCs w:val="28"/>
        </w:rPr>
        <w:tab/>
      </w:r>
      <w:r w:rsidR="00135C0D">
        <w:rPr>
          <w:b/>
          <w:sz w:val="28"/>
          <w:szCs w:val="28"/>
        </w:rPr>
        <w:t>Council</w:t>
      </w:r>
    </w:p>
    <w:p w14:paraId="06647C2A" w14:textId="77777777" w:rsidR="00CD5CA0" w:rsidRPr="00ED5AD0" w:rsidRDefault="00CD5CA0" w:rsidP="00CD5CA0">
      <w:pPr>
        <w:jc w:val="both"/>
        <w:rPr>
          <w:b/>
        </w:rPr>
      </w:pPr>
    </w:p>
    <w:p w14:paraId="57FC173F" w14:textId="77777777" w:rsidR="00CD5CA0" w:rsidRPr="00ED5AD0" w:rsidRDefault="00CD5CA0" w:rsidP="00CD5CA0">
      <w:pPr>
        <w:jc w:val="both"/>
        <w:rPr>
          <w:b/>
        </w:rPr>
      </w:pPr>
      <w:r w:rsidRPr="00ED5AD0">
        <w:rPr>
          <w:b/>
        </w:rPr>
        <w:t>Subject:</w:t>
      </w:r>
      <w:r w:rsidRPr="00ED5AD0">
        <w:rPr>
          <w:b/>
        </w:rPr>
        <w:tab/>
        <w:t xml:space="preserve">Localism Act: Pay Policy Statement </w:t>
      </w:r>
    </w:p>
    <w:p w14:paraId="7D14AA5E" w14:textId="77777777" w:rsidR="00CD5CA0" w:rsidRPr="00ED5AD0" w:rsidRDefault="00CD5CA0" w:rsidP="00CD5CA0">
      <w:pPr>
        <w:jc w:val="both"/>
      </w:pPr>
    </w:p>
    <w:p w14:paraId="1CD8DA3A" w14:textId="7AD6263D" w:rsidR="00CD5CA0" w:rsidRPr="00ED5AD0" w:rsidRDefault="00CD5CA0" w:rsidP="00CD5CA0">
      <w:pPr>
        <w:jc w:val="both"/>
        <w:rPr>
          <w:b/>
          <w:bCs/>
        </w:rPr>
      </w:pPr>
      <w:r w:rsidRPr="00ED5AD0">
        <w:rPr>
          <w:b/>
          <w:bCs/>
        </w:rPr>
        <w:t>Date:</w:t>
      </w:r>
      <w:r w:rsidRPr="00ED5AD0">
        <w:rPr>
          <w:b/>
          <w:bCs/>
        </w:rPr>
        <w:tab/>
      </w:r>
      <w:r w:rsidRPr="00ED5AD0">
        <w:rPr>
          <w:b/>
          <w:bCs/>
        </w:rPr>
        <w:tab/>
      </w:r>
      <w:r w:rsidR="00191E13">
        <w:rPr>
          <w:b/>
          <w:bCs/>
        </w:rPr>
        <w:t>31st</w:t>
      </w:r>
      <w:r w:rsidR="002D672F" w:rsidRPr="00ED5AD0">
        <w:rPr>
          <w:b/>
          <w:bCs/>
        </w:rPr>
        <w:t xml:space="preserve"> </w:t>
      </w:r>
      <w:r w:rsidR="002466ED" w:rsidRPr="00ED5AD0">
        <w:rPr>
          <w:b/>
          <w:bCs/>
        </w:rPr>
        <w:t xml:space="preserve">December </w:t>
      </w:r>
      <w:r w:rsidRPr="00ED5AD0">
        <w:rPr>
          <w:b/>
          <w:bCs/>
        </w:rPr>
        <w:t>20</w:t>
      </w:r>
      <w:r w:rsidR="00682379" w:rsidRPr="00ED5AD0">
        <w:rPr>
          <w:b/>
          <w:bCs/>
        </w:rPr>
        <w:t>2</w:t>
      </w:r>
      <w:r w:rsidR="00AE6FC6" w:rsidRPr="00ED5AD0">
        <w:rPr>
          <w:b/>
          <w:bCs/>
        </w:rPr>
        <w:t>4</w:t>
      </w:r>
    </w:p>
    <w:p w14:paraId="4638A322" w14:textId="77777777" w:rsidR="00CD5CA0" w:rsidRPr="00ED5AD0" w:rsidRDefault="00CD5CA0" w:rsidP="00CD5CA0">
      <w:pPr>
        <w:jc w:val="both"/>
        <w:rPr>
          <w:b/>
          <w:bCs/>
        </w:rPr>
      </w:pPr>
    </w:p>
    <w:p w14:paraId="05D734CF" w14:textId="2D6882F8" w:rsidR="00CD5CA0" w:rsidRPr="00ED5AD0" w:rsidRDefault="00CD5CA0" w:rsidP="00CD5CA0">
      <w:pPr>
        <w:jc w:val="both"/>
        <w:rPr>
          <w:b/>
          <w:bCs/>
        </w:rPr>
      </w:pPr>
      <w:r w:rsidRPr="00ED5AD0">
        <w:rPr>
          <w:b/>
          <w:bCs/>
        </w:rPr>
        <w:t>Author:</w:t>
      </w:r>
      <w:r w:rsidRPr="00ED5AD0">
        <w:rPr>
          <w:b/>
          <w:bCs/>
        </w:rPr>
        <w:tab/>
      </w:r>
      <w:r w:rsidR="009F7FF3" w:rsidRPr="00ED5AD0">
        <w:rPr>
          <w:b/>
          <w:bCs/>
        </w:rPr>
        <w:t>Assistant Director of Workforce</w:t>
      </w:r>
    </w:p>
    <w:p w14:paraId="2C119A6E" w14:textId="77777777" w:rsidR="00CD5CA0" w:rsidRPr="00ED5AD0" w:rsidRDefault="00CD5CA0" w:rsidP="00CD5CA0">
      <w:pPr>
        <w:jc w:val="both"/>
        <w:rPr>
          <w:b/>
        </w:rPr>
      </w:pPr>
    </w:p>
    <w:p w14:paraId="3A5E2E66" w14:textId="77777777" w:rsidR="00CD5CA0" w:rsidRPr="00ED5AD0" w:rsidRDefault="00CD5CA0" w:rsidP="00D32888">
      <w:pPr>
        <w:numPr>
          <w:ilvl w:val="0"/>
          <w:numId w:val="36"/>
        </w:numPr>
        <w:ind w:left="0"/>
        <w:jc w:val="both"/>
        <w:rPr>
          <w:rFonts w:cs="Arial"/>
          <w:b/>
          <w:szCs w:val="24"/>
        </w:rPr>
      </w:pPr>
      <w:r w:rsidRPr="00ED5AD0">
        <w:rPr>
          <w:rFonts w:cs="Arial"/>
          <w:b/>
          <w:szCs w:val="24"/>
        </w:rPr>
        <w:t>Purpose of the report</w:t>
      </w:r>
    </w:p>
    <w:p w14:paraId="4A26E0FC" w14:textId="77777777" w:rsidR="00C22DE7" w:rsidRPr="00ED5AD0" w:rsidRDefault="00C22DE7" w:rsidP="002466ED">
      <w:pPr>
        <w:tabs>
          <w:tab w:val="center" w:pos="4320"/>
          <w:tab w:val="right" w:pos="8640"/>
        </w:tabs>
        <w:jc w:val="both"/>
        <w:rPr>
          <w:rFonts w:cs="Arial"/>
          <w:szCs w:val="24"/>
        </w:rPr>
      </w:pPr>
    </w:p>
    <w:p w14:paraId="50920CE5" w14:textId="3D4652C3" w:rsidR="002466ED" w:rsidRPr="00ED5AD0" w:rsidRDefault="002466ED" w:rsidP="002466ED">
      <w:pPr>
        <w:tabs>
          <w:tab w:val="center" w:pos="4320"/>
          <w:tab w:val="right" w:pos="8640"/>
        </w:tabs>
        <w:jc w:val="both"/>
        <w:rPr>
          <w:rFonts w:cs="Arial"/>
          <w:szCs w:val="24"/>
        </w:rPr>
      </w:pPr>
      <w:r w:rsidRPr="00ED5AD0">
        <w:rPr>
          <w:rFonts w:cs="Arial"/>
          <w:szCs w:val="24"/>
        </w:rPr>
        <w:t xml:space="preserve">The purpose of the report is to </w:t>
      </w:r>
      <w:r w:rsidR="00191E13">
        <w:rPr>
          <w:rFonts w:cs="Arial"/>
          <w:szCs w:val="24"/>
        </w:rPr>
        <w:t>highlight the authority’s responsibilities in relation to pay in meeting with legislative requirements and local pay policies.</w:t>
      </w:r>
    </w:p>
    <w:p w14:paraId="0E0595DF" w14:textId="30F0903A" w:rsidR="00C22DE7" w:rsidRPr="00ED5AD0" w:rsidRDefault="00C22DE7" w:rsidP="00C22DE7">
      <w:pPr>
        <w:jc w:val="both"/>
        <w:rPr>
          <w:rFonts w:cs="Arial"/>
          <w:b/>
          <w:szCs w:val="24"/>
        </w:rPr>
      </w:pPr>
    </w:p>
    <w:p w14:paraId="075335FA" w14:textId="708B510D" w:rsidR="00547C59" w:rsidRDefault="00547C59" w:rsidP="00547C59">
      <w:pPr>
        <w:pStyle w:val="ListParagraph"/>
        <w:shd w:val="clear" w:color="auto" w:fill="FFFFFF"/>
        <w:spacing w:after="0" w:line="240" w:lineRule="auto"/>
        <w:ind w:left="0"/>
        <w:jc w:val="both"/>
        <w:rPr>
          <w:rFonts w:cs="Arial"/>
          <w:b/>
          <w:color w:val="000000"/>
          <w:szCs w:val="24"/>
        </w:rPr>
      </w:pPr>
      <w:r w:rsidRPr="00ED5AD0">
        <w:rPr>
          <w:rFonts w:cs="Arial"/>
          <w:b/>
          <w:color w:val="000000"/>
          <w:szCs w:val="24"/>
        </w:rPr>
        <w:t>Recommendation</w:t>
      </w:r>
    </w:p>
    <w:p w14:paraId="7547DFA5" w14:textId="77777777" w:rsidR="000A34C2" w:rsidRPr="00ED5AD0" w:rsidRDefault="000A34C2" w:rsidP="00547C59">
      <w:pPr>
        <w:pStyle w:val="ListParagraph"/>
        <w:shd w:val="clear" w:color="auto" w:fill="FFFFFF"/>
        <w:spacing w:after="0" w:line="240" w:lineRule="auto"/>
        <w:ind w:left="0"/>
        <w:jc w:val="both"/>
        <w:rPr>
          <w:rFonts w:cs="Arial"/>
          <w:color w:val="000000"/>
          <w:szCs w:val="24"/>
        </w:rPr>
      </w:pPr>
    </w:p>
    <w:p w14:paraId="1E4A6082" w14:textId="6853A5BA" w:rsidR="00547C59" w:rsidRPr="000A34C2" w:rsidRDefault="00547C59" w:rsidP="00547C59">
      <w:pPr>
        <w:jc w:val="both"/>
        <w:rPr>
          <w:rFonts w:cs="Arial"/>
          <w:b/>
          <w:bCs/>
          <w:color w:val="000000"/>
          <w:szCs w:val="24"/>
        </w:rPr>
      </w:pPr>
      <w:r w:rsidRPr="000A34C2">
        <w:rPr>
          <w:rFonts w:cs="Arial"/>
          <w:b/>
          <w:bCs/>
          <w:color w:val="000000"/>
          <w:szCs w:val="24"/>
        </w:rPr>
        <w:t xml:space="preserve">The </w:t>
      </w:r>
      <w:r w:rsidR="00191E13" w:rsidRPr="000A34C2">
        <w:rPr>
          <w:rFonts w:cs="Arial"/>
          <w:b/>
          <w:bCs/>
          <w:color w:val="000000"/>
          <w:szCs w:val="24"/>
        </w:rPr>
        <w:t xml:space="preserve">Council </w:t>
      </w:r>
      <w:r w:rsidRPr="000A34C2">
        <w:rPr>
          <w:rFonts w:cs="Arial"/>
          <w:b/>
          <w:bCs/>
          <w:color w:val="000000"/>
          <w:szCs w:val="24"/>
        </w:rPr>
        <w:t xml:space="preserve">is recommended to: </w:t>
      </w:r>
    </w:p>
    <w:p w14:paraId="266526E8" w14:textId="7FDCCA2B" w:rsidR="00547C59" w:rsidRPr="000A34C2" w:rsidRDefault="00547C59" w:rsidP="00547C59">
      <w:pPr>
        <w:jc w:val="both"/>
        <w:rPr>
          <w:rFonts w:cs="Arial"/>
          <w:b/>
          <w:bCs/>
          <w:color w:val="000000"/>
          <w:szCs w:val="24"/>
        </w:rPr>
      </w:pPr>
    </w:p>
    <w:p w14:paraId="1192574B" w14:textId="457DB6B8" w:rsidR="00547C59" w:rsidRPr="000A34C2" w:rsidRDefault="00547C59" w:rsidP="00547C59">
      <w:pPr>
        <w:jc w:val="both"/>
        <w:rPr>
          <w:rFonts w:cs="Arial"/>
          <w:b/>
          <w:bCs/>
          <w:color w:val="000000"/>
          <w:szCs w:val="24"/>
        </w:rPr>
      </w:pPr>
      <w:r w:rsidRPr="000A34C2">
        <w:rPr>
          <w:rFonts w:cs="Arial"/>
          <w:b/>
          <w:bCs/>
          <w:color w:val="000000"/>
          <w:szCs w:val="24"/>
        </w:rPr>
        <w:t xml:space="preserve">a)  Approve the proposed Pay Policy Statement and </w:t>
      </w:r>
      <w:r w:rsidR="00490B80" w:rsidRPr="000A34C2">
        <w:rPr>
          <w:rFonts w:cs="Arial"/>
          <w:b/>
          <w:bCs/>
          <w:color w:val="000000"/>
          <w:szCs w:val="24"/>
        </w:rPr>
        <w:t xml:space="preserve">associated pay arrangements </w:t>
      </w:r>
      <w:r w:rsidR="00191E13" w:rsidRPr="000A34C2">
        <w:rPr>
          <w:rFonts w:cs="Arial"/>
          <w:b/>
          <w:bCs/>
          <w:color w:val="000000"/>
          <w:szCs w:val="24"/>
        </w:rPr>
        <w:t>as approved by the Appointments &amp; Conditions of Service Committee</w:t>
      </w:r>
      <w:r w:rsidR="00490B80" w:rsidRPr="000A34C2">
        <w:rPr>
          <w:rFonts w:cs="Arial"/>
          <w:b/>
          <w:bCs/>
          <w:color w:val="000000"/>
          <w:szCs w:val="24"/>
        </w:rPr>
        <w:t>.</w:t>
      </w:r>
      <w:r w:rsidRPr="000A34C2">
        <w:rPr>
          <w:rFonts w:cs="Arial"/>
          <w:b/>
          <w:bCs/>
          <w:color w:val="000000"/>
          <w:szCs w:val="24"/>
        </w:rPr>
        <w:t xml:space="preserve"> </w:t>
      </w:r>
    </w:p>
    <w:p w14:paraId="362B96E3" w14:textId="5F4F8CE5" w:rsidR="00547C59" w:rsidRPr="000A34C2" w:rsidRDefault="00547C59" w:rsidP="00547C59">
      <w:pPr>
        <w:jc w:val="both"/>
        <w:rPr>
          <w:rFonts w:cs="Arial"/>
          <w:b/>
          <w:bCs/>
          <w:color w:val="000000"/>
          <w:szCs w:val="24"/>
        </w:rPr>
      </w:pPr>
    </w:p>
    <w:p w14:paraId="4148569C" w14:textId="6FA90695" w:rsidR="00652CF1" w:rsidRPr="000A34C2" w:rsidRDefault="00547C59" w:rsidP="00652CF1">
      <w:pPr>
        <w:ind w:left="284" w:hanging="284"/>
        <w:jc w:val="both"/>
        <w:rPr>
          <w:rFonts w:cs="Arial"/>
          <w:b/>
          <w:bCs/>
          <w:szCs w:val="24"/>
        </w:rPr>
      </w:pPr>
      <w:r w:rsidRPr="000A34C2">
        <w:rPr>
          <w:rFonts w:cs="Arial"/>
          <w:b/>
          <w:bCs/>
          <w:color w:val="000000"/>
          <w:szCs w:val="24"/>
        </w:rPr>
        <w:t xml:space="preserve">b) </w:t>
      </w:r>
      <w:r w:rsidR="00191E13" w:rsidRPr="000A34C2">
        <w:rPr>
          <w:rFonts w:cs="Arial"/>
          <w:b/>
          <w:bCs/>
          <w:color w:val="000000"/>
          <w:szCs w:val="24"/>
        </w:rPr>
        <w:t>Approve the s</w:t>
      </w:r>
      <w:r w:rsidR="00652CF1" w:rsidRPr="000A34C2">
        <w:rPr>
          <w:rFonts w:cs="Arial"/>
          <w:b/>
          <w:bCs/>
          <w:color w:val="000000"/>
          <w:szCs w:val="24"/>
        </w:rPr>
        <w:t>ubsequent publication on the Council’s website.</w:t>
      </w:r>
    </w:p>
    <w:p w14:paraId="0F2F77D7" w14:textId="7E66AA2A" w:rsidR="00652CF1" w:rsidRPr="000A34C2" w:rsidRDefault="00652CF1" w:rsidP="00547C59">
      <w:pPr>
        <w:ind w:left="284" w:hanging="284"/>
        <w:jc w:val="both"/>
        <w:rPr>
          <w:rFonts w:cs="Arial"/>
          <w:b/>
          <w:bCs/>
          <w:color w:val="000000"/>
          <w:szCs w:val="24"/>
        </w:rPr>
      </w:pPr>
    </w:p>
    <w:p w14:paraId="7DCAD453" w14:textId="62EFF0BD" w:rsidR="00CD5CA0" w:rsidRPr="00ED5AD0" w:rsidRDefault="00CD5CA0" w:rsidP="00D32888">
      <w:pPr>
        <w:numPr>
          <w:ilvl w:val="0"/>
          <w:numId w:val="36"/>
        </w:numPr>
        <w:ind w:left="0"/>
        <w:jc w:val="both"/>
        <w:rPr>
          <w:rFonts w:cs="Arial"/>
          <w:b/>
          <w:szCs w:val="24"/>
        </w:rPr>
      </w:pPr>
      <w:r w:rsidRPr="00ED5AD0">
        <w:rPr>
          <w:rFonts w:cs="Arial"/>
          <w:b/>
          <w:szCs w:val="24"/>
        </w:rPr>
        <w:t>Background</w:t>
      </w:r>
    </w:p>
    <w:p w14:paraId="6940601F" w14:textId="6F326346" w:rsidR="00C22DE7" w:rsidRPr="00ED5AD0" w:rsidRDefault="00C22DE7" w:rsidP="00CD5CA0">
      <w:pPr>
        <w:pStyle w:val="ListParagraph"/>
        <w:shd w:val="clear" w:color="auto" w:fill="FFFFFF"/>
        <w:spacing w:after="0" w:line="240" w:lineRule="auto"/>
        <w:ind w:left="0"/>
        <w:jc w:val="both"/>
        <w:rPr>
          <w:rFonts w:cs="Arial"/>
          <w:color w:val="000000"/>
          <w:szCs w:val="24"/>
          <w:lang w:val="en" w:eastAsia="en-GB"/>
        </w:rPr>
      </w:pPr>
    </w:p>
    <w:p w14:paraId="65B47BB9"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The purpose of the Statement is to increase accountability in relation to payments made to senior members of local authority staff by enabling public scrutiny.</w:t>
      </w:r>
    </w:p>
    <w:p w14:paraId="57FB48B7" w14:textId="77777777" w:rsidR="002466ED" w:rsidRPr="00ED5AD0" w:rsidRDefault="002466ED" w:rsidP="00CD5CA0">
      <w:pPr>
        <w:pStyle w:val="ListParagraph"/>
        <w:shd w:val="clear" w:color="auto" w:fill="FFFFFF"/>
        <w:spacing w:after="0" w:line="240" w:lineRule="auto"/>
        <w:ind w:left="0"/>
        <w:jc w:val="both"/>
        <w:rPr>
          <w:rFonts w:cs="Arial"/>
          <w:color w:val="000000"/>
          <w:szCs w:val="24"/>
          <w:lang w:val="en" w:eastAsia="en-GB"/>
        </w:rPr>
      </w:pPr>
    </w:p>
    <w:p w14:paraId="5E216C85" w14:textId="644E52BC" w:rsidR="002466ED" w:rsidRPr="00ED5AD0" w:rsidRDefault="002466ED" w:rsidP="002466ED">
      <w:pPr>
        <w:tabs>
          <w:tab w:val="center" w:pos="4320"/>
          <w:tab w:val="right" w:pos="8640"/>
        </w:tabs>
        <w:jc w:val="both"/>
        <w:rPr>
          <w:rFonts w:cs="Arial"/>
          <w:szCs w:val="24"/>
        </w:rPr>
      </w:pPr>
      <w:r w:rsidRPr="00ED5AD0">
        <w:rPr>
          <w:rFonts w:cs="Arial"/>
          <w:szCs w:val="24"/>
        </w:rPr>
        <w:t xml:space="preserve">Section 38 of the Localism Act 2011 requires local authorities to publish a Pay Policy Statement by 31 March each year for the following financial year.  Other regulations also require the Council to openly publish certain information and of </w:t>
      </w:r>
      <w:proofErr w:type="gramStart"/>
      <w:r w:rsidRPr="00ED5AD0">
        <w:rPr>
          <w:rFonts w:cs="Arial"/>
          <w:szCs w:val="24"/>
        </w:rPr>
        <w:t>particular relevance</w:t>
      </w:r>
      <w:proofErr w:type="gramEnd"/>
      <w:r w:rsidRPr="00ED5AD0">
        <w:rPr>
          <w:rFonts w:cs="Arial"/>
          <w:szCs w:val="24"/>
        </w:rPr>
        <w:t xml:space="preserve"> to the Pay Policy Statement is the statutory Local Government Transparency Code 201</w:t>
      </w:r>
      <w:r w:rsidR="003A102C" w:rsidRPr="00ED5AD0">
        <w:rPr>
          <w:rFonts w:cs="Arial"/>
          <w:szCs w:val="24"/>
        </w:rPr>
        <w:t>5</w:t>
      </w:r>
      <w:r w:rsidRPr="00ED5AD0">
        <w:rPr>
          <w:rFonts w:cs="Arial"/>
          <w:szCs w:val="24"/>
        </w:rPr>
        <w:t>.  This report presents a proposal for the Gedling Borough Council Pay Policy Statement 20</w:t>
      </w:r>
      <w:r w:rsidR="00547C59" w:rsidRPr="00ED5AD0">
        <w:rPr>
          <w:rFonts w:cs="Arial"/>
          <w:szCs w:val="24"/>
        </w:rPr>
        <w:t>2</w:t>
      </w:r>
      <w:r w:rsidR="006D6DF9" w:rsidRPr="00ED5AD0">
        <w:rPr>
          <w:rFonts w:cs="Arial"/>
          <w:szCs w:val="24"/>
        </w:rPr>
        <w:t>5</w:t>
      </w:r>
      <w:r w:rsidRPr="00ED5AD0">
        <w:rPr>
          <w:rFonts w:cs="Arial"/>
          <w:szCs w:val="24"/>
        </w:rPr>
        <w:t>-</w:t>
      </w:r>
      <w:r w:rsidR="002D446D" w:rsidRPr="00ED5AD0">
        <w:rPr>
          <w:rFonts w:cs="Arial"/>
          <w:szCs w:val="24"/>
        </w:rPr>
        <w:t>2</w:t>
      </w:r>
      <w:r w:rsidR="006D6DF9" w:rsidRPr="00ED5AD0">
        <w:rPr>
          <w:rFonts w:cs="Arial"/>
          <w:szCs w:val="24"/>
        </w:rPr>
        <w:t>6</w:t>
      </w:r>
      <w:r w:rsidRPr="00ED5AD0">
        <w:rPr>
          <w:rFonts w:cs="Arial"/>
          <w:szCs w:val="24"/>
        </w:rPr>
        <w:t xml:space="preserve">.  </w:t>
      </w:r>
    </w:p>
    <w:p w14:paraId="434D1491"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p>
    <w:p w14:paraId="7F1AC7E1"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 xml:space="preserve">A Pay Policy Statement must set out the authority’s policies relating to the: </w:t>
      </w:r>
    </w:p>
    <w:p w14:paraId="4172EE56" w14:textId="77777777" w:rsidR="00CD5CA0" w:rsidRPr="00ED5AD0" w:rsidRDefault="00CD5CA0" w:rsidP="00D32888">
      <w:pPr>
        <w:pStyle w:val="ListParagraph"/>
        <w:numPr>
          <w:ilvl w:val="0"/>
          <w:numId w:val="1"/>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remuneration of its Chief Officers </w:t>
      </w:r>
    </w:p>
    <w:p w14:paraId="712E2CC9" w14:textId="77777777" w:rsidR="00CD5CA0" w:rsidRPr="00ED5AD0" w:rsidRDefault="00CD5CA0" w:rsidP="00D32888">
      <w:pPr>
        <w:pStyle w:val="ListParagraph"/>
        <w:numPr>
          <w:ilvl w:val="0"/>
          <w:numId w:val="1"/>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remuneration of its lowest-paid employees </w:t>
      </w:r>
    </w:p>
    <w:p w14:paraId="1379092B" w14:textId="77777777" w:rsidR="00CD5CA0" w:rsidRPr="00ED5AD0" w:rsidRDefault="00CD5CA0" w:rsidP="00D32888">
      <w:pPr>
        <w:pStyle w:val="ListParagraph"/>
        <w:numPr>
          <w:ilvl w:val="0"/>
          <w:numId w:val="1"/>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relationship between the remuneration of its Chief Officers and the remuneration of its employees who are not Chief Officers.</w:t>
      </w:r>
    </w:p>
    <w:p w14:paraId="25616AB3"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p>
    <w:p w14:paraId="327F9EA1" w14:textId="2F4AE69B"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 xml:space="preserve">The Statement must include the definition of lowest-paid employees adopted by the authority and the reasons for adopting that definition. </w:t>
      </w:r>
      <w:r w:rsidR="00547C59" w:rsidRPr="00ED5AD0">
        <w:rPr>
          <w:rFonts w:cs="Arial"/>
          <w:color w:val="000000"/>
          <w:szCs w:val="24"/>
          <w:lang w:val="en" w:eastAsia="en-GB"/>
        </w:rPr>
        <w:br w:type="page"/>
      </w:r>
    </w:p>
    <w:p w14:paraId="64F557B5"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lastRenderedPageBreak/>
        <w:t>The Statement must include the authority’s policies relating to the:</w:t>
      </w:r>
    </w:p>
    <w:p w14:paraId="3332B710"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level and elements of remuneration for each Chief Officer </w:t>
      </w:r>
    </w:p>
    <w:p w14:paraId="3BA5A167"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remuneration of Chief Officers on recruitment  </w:t>
      </w:r>
    </w:p>
    <w:p w14:paraId="5C2DB5EC"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increases and additions to remuneration for each Chief Officer</w:t>
      </w:r>
    </w:p>
    <w:p w14:paraId="60A8FFD7"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use of performance-related pay for Chief Officers</w:t>
      </w:r>
    </w:p>
    <w:p w14:paraId="4E6BC487"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use of bonuses for Chief Officers </w:t>
      </w:r>
    </w:p>
    <w:p w14:paraId="175F5EB0"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approach to the payment of Chief Officers on their ceasing to hold office under or to be employed by the authority </w:t>
      </w:r>
    </w:p>
    <w:p w14:paraId="40C05224" w14:textId="77777777" w:rsidR="00CD5CA0" w:rsidRPr="00ED5AD0" w:rsidRDefault="00CD5CA0" w:rsidP="00D32888">
      <w:pPr>
        <w:pStyle w:val="ListParagraph"/>
        <w:numPr>
          <w:ilvl w:val="0"/>
          <w:numId w:val="2"/>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publication of and access to information relating to remuneration of Chief Officers. </w:t>
      </w:r>
    </w:p>
    <w:p w14:paraId="2D1BFE81"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p>
    <w:p w14:paraId="25FF6305" w14:textId="77777777" w:rsidR="002E2D6B" w:rsidRPr="00ED5AD0" w:rsidRDefault="00F10180" w:rsidP="00CD5CA0">
      <w:pPr>
        <w:pStyle w:val="ListParagraph"/>
        <w:shd w:val="clear" w:color="auto" w:fill="FFFFFF"/>
        <w:spacing w:after="0" w:line="240" w:lineRule="auto"/>
        <w:ind w:left="0"/>
        <w:jc w:val="both"/>
        <w:rPr>
          <w:rFonts w:cs="Arial"/>
          <w:color w:val="000000"/>
          <w:szCs w:val="24"/>
          <w:lang w:val="en" w:eastAsia="en-GB"/>
        </w:rPr>
      </w:pPr>
      <w:r w:rsidRPr="00ED5AD0">
        <w:rPr>
          <w:rFonts w:ascii="Montserrat" w:hAnsi="Montserrat" w:cs="Segoe UI"/>
          <w:vanish/>
          <w:color w:val="212529"/>
          <w:sz w:val="21"/>
          <w:szCs w:val="21"/>
        </w:rPr>
        <w:t>Under the Trade Union (Facility Time Publication Requirements) Regulations 2017 public sector employers must collate and publish, on an annual basis, a range of data on the amount and cost of facility time within their organisationUnder the Trade Union (Facility Time Publication Requirements) Regulations 2017 public sector employers must collate and publish, on an annual basis, a range of data on the amount and cost of facility time within their organisationUnder the Trade Union (Facility Time Publication Requirements) Regulations 2017 public sector employers must collate and publish, on an annual basis, a range of data on the amount and cost of facility time within their organisation</w:t>
      </w:r>
      <w:r w:rsidR="00AA25DB" w:rsidRPr="00ED5AD0">
        <w:rPr>
          <w:rFonts w:cs="Arial"/>
          <w:color w:val="000000"/>
          <w:szCs w:val="24"/>
          <w:lang w:val="en" w:eastAsia="en-GB"/>
        </w:rPr>
        <w:t xml:space="preserve">Locally the Statement is also used to publish Gender Pay Gap information </w:t>
      </w:r>
      <w:r w:rsidRPr="00ED5AD0">
        <w:rPr>
          <w:rFonts w:cs="Arial"/>
          <w:color w:val="000000"/>
          <w:szCs w:val="24"/>
          <w:lang w:val="en" w:eastAsia="en-GB"/>
        </w:rPr>
        <w:t xml:space="preserve">required </w:t>
      </w:r>
      <w:r w:rsidR="002E2D6B" w:rsidRPr="00ED5AD0">
        <w:rPr>
          <w:rFonts w:cs="Arial"/>
          <w:color w:val="000000"/>
          <w:szCs w:val="24"/>
          <w:lang w:val="en" w:eastAsia="en-GB"/>
        </w:rPr>
        <w:t xml:space="preserve">under the Equality Act 2010 (Gender Pay Gap Information) Regulations 2017 and information relating to time spent on support of </w:t>
      </w:r>
      <w:proofErr w:type="spellStart"/>
      <w:r w:rsidR="002E2D6B" w:rsidRPr="00ED5AD0">
        <w:rPr>
          <w:rFonts w:cs="Arial"/>
          <w:color w:val="000000"/>
          <w:szCs w:val="24"/>
          <w:lang w:val="en" w:eastAsia="en-GB"/>
        </w:rPr>
        <w:t>recognised</w:t>
      </w:r>
      <w:proofErr w:type="spellEnd"/>
      <w:r w:rsidR="002E2D6B" w:rsidRPr="00ED5AD0">
        <w:rPr>
          <w:rFonts w:cs="Arial"/>
          <w:color w:val="000000"/>
          <w:szCs w:val="24"/>
          <w:lang w:val="en" w:eastAsia="en-GB"/>
        </w:rPr>
        <w:t xml:space="preserve"> trade unions as required by the </w:t>
      </w:r>
      <w:r w:rsidRPr="00ED5AD0">
        <w:rPr>
          <w:rFonts w:cs="Arial"/>
          <w:color w:val="000000"/>
          <w:szCs w:val="24"/>
          <w:lang w:val="en" w:eastAsia="en-GB"/>
        </w:rPr>
        <w:t>Trade Union (Facility Time Publication Requirements) Regulations 2017</w:t>
      </w:r>
      <w:r w:rsidR="002E2D6B" w:rsidRPr="00ED5AD0">
        <w:rPr>
          <w:rFonts w:cs="Arial"/>
          <w:color w:val="000000"/>
          <w:szCs w:val="24"/>
          <w:lang w:val="en" w:eastAsia="en-GB"/>
        </w:rPr>
        <w:t>.</w:t>
      </w:r>
    </w:p>
    <w:p w14:paraId="51868D95" w14:textId="77777777" w:rsidR="00293611" w:rsidRPr="00ED5AD0" w:rsidRDefault="00293611" w:rsidP="00CD5CA0">
      <w:pPr>
        <w:pStyle w:val="ListParagraph"/>
        <w:shd w:val="clear" w:color="auto" w:fill="FFFFFF"/>
        <w:spacing w:after="0" w:line="240" w:lineRule="auto"/>
        <w:ind w:left="0"/>
        <w:jc w:val="both"/>
        <w:rPr>
          <w:rFonts w:cs="Arial"/>
          <w:color w:val="000000"/>
          <w:szCs w:val="24"/>
          <w:lang w:val="en" w:eastAsia="en-GB"/>
        </w:rPr>
      </w:pPr>
    </w:p>
    <w:p w14:paraId="31F27402" w14:textId="0ACCA437" w:rsidR="00B52971" w:rsidRPr="00ED5AD0" w:rsidRDefault="006440FF" w:rsidP="00B52971">
      <w:pPr>
        <w:pStyle w:val="BodyText"/>
        <w:autoSpaceDE w:val="0"/>
        <w:autoSpaceDN w:val="0"/>
        <w:adjustRightInd w:val="0"/>
        <w:spacing w:after="120" w:line="240" w:lineRule="auto"/>
        <w:rPr>
          <w:rFonts w:cs="Arial"/>
          <w:sz w:val="24"/>
          <w:szCs w:val="24"/>
          <w:lang w:val="en-US"/>
        </w:rPr>
      </w:pPr>
      <w:r w:rsidRPr="00ED5AD0">
        <w:rPr>
          <w:rFonts w:cs="Arial"/>
          <w:color w:val="000000"/>
          <w:sz w:val="24"/>
          <w:szCs w:val="24"/>
          <w:lang w:val="en" w:eastAsia="en-GB"/>
        </w:rPr>
        <w:t xml:space="preserve">The </w:t>
      </w:r>
      <w:r w:rsidR="00293611" w:rsidRPr="00ED5AD0">
        <w:rPr>
          <w:rFonts w:cs="Arial"/>
          <w:color w:val="000000"/>
          <w:sz w:val="24"/>
          <w:szCs w:val="24"/>
          <w:lang w:val="en" w:eastAsia="en-GB"/>
        </w:rPr>
        <w:t xml:space="preserve">Pay Policy Statement includes policy statements relating to </w:t>
      </w:r>
      <w:r w:rsidR="00B52971" w:rsidRPr="00ED5AD0">
        <w:rPr>
          <w:rFonts w:cs="Arial"/>
          <w:color w:val="000000"/>
          <w:sz w:val="24"/>
          <w:szCs w:val="24"/>
          <w:lang w:val="en" w:eastAsia="en-GB"/>
        </w:rPr>
        <w:t xml:space="preserve">Special </w:t>
      </w:r>
      <w:r w:rsidR="00293611" w:rsidRPr="00ED5AD0">
        <w:rPr>
          <w:rFonts w:cs="Arial"/>
          <w:color w:val="000000"/>
          <w:sz w:val="24"/>
          <w:szCs w:val="24"/>
          <w:lang w:val="en" w:eastAsia="en-GB"/>
        </w:rPr>
        <w:t xml:space="preserve">Severance Payments. </w:t>
      </w:r>
      <w:r w:rsidR="00B52971" w:rsidRPr="00ED5AD0">
        <w:rPr>
          <w:rFonts w:cs="Arial"/>
          <w:color w:val="000000"/>
          <w:sz w:val="24"/>
          <w:szCs w:val="24"/>
          <w:lang w:val="en" w:eastAsia="en-GB"/>
        </w:rPr>
        <w:t>The Government published Statutory G</w:t>
      </w:r>
      <w:r w:rsidR="00293611" w:rsidRPr="00ED5AD0">
        <w:rPr>
          <w:rFonts w:cs="Arial"/>
          <w:color w:val="000000"/>
          <w:sz w:val="24"/>
          <w:szCs w:val="24"/>
          <w:lang w:val="en" w:eastAsia="en-GB"/>
        </w:rPr>
        <w:t xml:space="preserve">uidance </w:t>
      </w:r>
      <w:r w:rsidR="00B52971" w:rsidRPr="00ED5AD0">
        <w:rPr>
          <w:rFonts w:cs="Arial"/>
          <w:color w:val="000000"/>
          <w:sz w:val="24"/>
          <w:szCs w:val="24"/>
          <w:lang w:val="en" w:eastAsia="en-GB"/>
        </w:rPr>
        <w:t>on the making and disclosure of Special Severance Payments by local authorities in England in May 2022.</w:t>
      </w:r>
      <w:r w:rsidR="00B52971" w:rsidRPr="00ED5AD0">
        <w:rPr>
          <w:rFonts w:cs="Arial"/>
          <w:color w:val="000000"/>
          <w:szCs w:val="24"/>
          <w:lang w:val="en" w:eastAsia="en-GB"/>
        </w:rPr>
        <w:t xml:space="preserve"> </w:t>
      </w:r>
      <w:r w:rsidR="00293611" w:rsidRPr="00ED5AD0">
        <w:rPr>
          <w:rFonts w:cs="Arial"/>
          <w:color w:val="000000"/>
          <w:szCs w:val="24"/>
          <w:lang w:val="en" w:eastAsia="en-GB"/>
        </w:rPr>
        <w:t xml:space="preserve"> </w:t>
      </w:r>
      <w:r w:rsidR="00B52971" w:rsidRPr="00ED5AD0">
        <w:rPr>
          <w:rFonts w:cs="Arial"/>
          <w:sz w:val="24"/>
          <w:szCs w:val="24"/>
          <w:lang w:val="en-US"/>
        </w:rPr>
        <w:t>This guidance is issued under section 26 of the Local Government Act 1999, the purpose of which is to:</w:t>
      </w:r>
    </w:p>
    <w:p w14:paraId="3D593343" w14:textId="77777777" w:rsidR="00B52971" w:rsidRPr="00ED5AD0" w:rsidRDefault="00B52971" w:rsidP="00D32888">
      <w:pPr>
        <w:widowControl w:val="0"/>
        <w:numPr>
          <w:ilvl w:val="0"/>
          <w:numId w:val="42"/>
        </w:numPr>
        <w:autoSpaceDE w:val="0"/>
        <w:autoSpaceDN w:val="0"/>
        <w:adjustRightInd w:val="0"/>
        <w:spacing w:after="120" w:line="259" w:lineRule="auto"/>
        <w:jc w:val="both"/>
        <w:rPr>
          <w:rFonts w:cs="Arial"/>
          <w:szCs w:val="24"/>
          <w:lang w:val="en-US"/>
        </w:rPr>
      </w:pPr>
      <w:r w:rsidRPr="00ED5AD0">
        <w:rPr>
          <w:rFonts w:cs="Arial"/>
          <w:szCs w:val="24"/>
          <w:lang w:val="en-US"/>
        </w:rPr>
        <w:t xml:space="preserve">set out the Government’s view that Special Severance Payments do not usually represent value for money and should only be considered in exceptional </w:t>
      </w:r>
      <w:proofErr w:type="gramStart"/>
      <w:r w:rsidRPr="00ED5AD0">
        <w:rPr>
          <w:rFonts w:cs="Arial"/>
          <w:szCs w:val="24"/>
          <w:lang w:val="en-US"/>
        </w:rPr>
        <w:t>circumstances;</w:t>
      </w:r>
      <w:proofErr w:type="gramEnd"/>
    </w:p>
    <w:p w14:paraId="22107692" w14:textId="77777777" w:rsidR="00B52971" w:rsidRPr="00ED5AD0" w:rsidRDefault="00B52971" w:rsidP="00D32888">
      <w:pPr>
        <w:widowControl w:val="0"/>
        <w:numPr>
          <w:ilvl w:val="0"/>
          <w:numId w:val="42"/>
        </w:numPr>
        <w:autoSpaceDE w:val="0"/>
        <w:autoSpaceDN w:val="0"/>
        <w:adjustRightInd w:val="0"/>
        <w:spacing w:after="120" w:line="259" w:lineRule="auto"/>
        <w:jc w:val="both"/>
        <w:rPr>
          <w:rFonts w:cs="Arial"/>
          <w:szCs w:val="24"/>
          <w:lang w:val="en-US"/>
        </w:rPr>
      </w:pPr>
      <w:r w:rsidRPr="00ED5AD0">
        <w:rPr>
          <w:rFonts w:cs="Arial"/>
          <w:szCs w:val="24"/>
          <w:lang w:val="en-US"/>
        </w:rPr>
        <w:t xml:space="preserve">set out the criteria employers should consider in the exceptional circumstances in which it may be appropriate to make a Special Severance </w:t>
      </w:r>
      <w:proofErr w:type="gramStart"/>
      <w:r w:rsidRPr="00ED5AD0">
        <w:rPr>
          <w:rFonts w:cs="Arial"/>
          <w:szCs w:val="24"/>
          <w:lang w:val="en-US"/>
        </w:rPr>
        <w:t>Payment;</w:t>
      </w:r>
      <w:proofErr w:type="gramEnd"/>
    </w:p>
    <w:p w14:paraId="6CA181B9" w14:textId="77777777" w:rsidR="00B52971" w:rsidRPr="00ED5AD0" w:rsidRDefault="00B52971" w:rsidP="00D32888">
      <w:pPr>
        <w:widowControl w:val="0"/>
        <w:numPr>
          <w:ilvl w:val="0"/>
          <w:numId w:val="42"/>
        </w:numPr>
        <w:autoSpaceDE w:val="0"/>
        <w:autoSpaceDN w:val="0"/>
        <w:adjustRightInd w:val="0"/>
        <w:spacing w:after="120" w:line="259" w:lineRule="auto"/>
        <w:jc w:val="both"/>
        <w:rPr>
          <w:rFonts w:cs="Arial"/>
          <w:szCs w:val="24"/>
          <w:lang w:val="en-US"/>
        </w:rPr>
      </w:pPr>
      <w:r w:rsidRPr="00ED5AD0">
        <w:rPr>
          <w:rFonts w:cs="Arial"/>
          <w:szCs w:val="24"/>
          <w:lang w:val="en-US"/>
        </w:rPr>
        <w:t>give examples of the exceptional circumstances in which Special Severance Payments may be appropriate; and</w:t>
      </w:r>
    </w:p>
    <w:p w14:paraId="0AFA8960" w14:textId="77777777" w:rsidR="00B52971" w:rsidRPr="00ED5AD0" w:rsidRDefault="00B52971" w:rsidP="00D32888">
      <w:pPr>
        <w:widowControl w:val="0"/>
        <w:numPr>
          <w:ilvl w:val="0"/>
          <w:numId w:val="42"/>
        </w:numPr>
        <w:autoSpaceDE w:val="0"/>
        <w:autoSpaceDN w:val="0"/>
        <w:adjustRightInd w:val="0"/>
        <w:spacing w:after="120" w:line="259" w:lineRule="auto"/>
        <w:jc w:val="both"/>
        <w:rPr>
          <w:rFonts w:cs="Arial"/>
          <w:szCs w:val="24"/>
          <w:lang w:val="en-US"/>
        </w:rPr>
      </w:pPr>
      <w:r w:rsidRPr="00ED5AD0">
        <w:rPr>
          <w:rFonts w:cs="Arial"/>
          <w:szCs w:val="24"/>
          <w:lang w:val="en-US"/>
        </w:rPr>
        <w:t>clarify the disclosure and reporting requirements for Special Severance Payments.</w:t>
      </w:r>
    </w:p>
    <w:p w14:paraId="4874E265" w14:textId="77777777" w:rsidR="00B52971" w:rsidRPr="00ED5AD0" w:rsidRDefault="00B52971" w:rsidP="00B52971">
      <w:pPr>
        <w:spacing w:after="120" w:line="259" w:lineRule="auto"/>
        <w:rPr>
          <w:rFonts w:cs="Arial"/>
          <w:b/>
          <w:bCs/>
          <w:i/>
          <w:iCs/>
          <w:szCs w:val="24"/>
          <w:lang w:val="en-US"/>
        </w:rPr>
      </w:pPr>
      <w:r w:rsidRPr="00ED5AD0">
        <w:rPr>
          <w:rFonts w:cs="Arial"/>
          <w:szCs w:val="24"/>
          <w:lang w:val="en-US"/>
        </w:rPr>
        <w:t xml:space="preserve">Under the guidance Special Severance Payments are defined, see </w:t>
      </w:r>
      <w:r w:rsidRPr="00ED5AD0">
        <w:rPr>
          <w:rFonts w:cs="Arial"/>
          <w:bCs/>
          <w:szCs w:val="24"/>
          <w:lang w:val="en-US"/>
        </w:rPr>
        <w:t>Appendix ix of the Pay Policy Statement for the full guidance</w:t>
      </w:r>
      <w:r w:rsidRPr="00ED5AD0">
        <w:rPr>
          <w:rFonts w:cs="Arial"/>
          <w:szCs w:val="24"/>
          <w:lang w:val="en-US"/>
        </w:rPr>
        <w:t>.</w:t>
      </w:r>
    </w:p>
    <w:p w14:paraId="471E1136" w14:textId="77777777" w:rsidR="00B52971" w:rsidRPr="00ED5AD0" w:rsidRDefault="00B52971" w:rsidP="00B52971">
      <w:pPr>
        <w:spacing w:after="120" w:line="259" w:lineRule="auto"/>
        <w:rPr>
          <w:rFonts w:cs="Arial"/>
          <w:b/>
          <w:bCs/>
          <w:i/>
          <w:iCs/>
          <w:szCs w:val="24"/>
          <w:lang w:val="en-US"/>
        </w:rPr>
      </w:pPr>
      <w:r w:rsidRPr="00ED5AD0">
        <w:rPr>
          <w:rFonts w:cs="Arial"/>
          <w:szCs w:val="24"/>
          <w:lang w:val="en-US"/>
        </w:rPr>
        <w:t>In ensuring adherence to the guidance, the Council is required to demonstrate the economic rationale behind Special Severance Payments, including consideration of:</w:t>
      </w:r>
    </w:p>
    <w:p w14:paraId="67871A42" w14:textId="77777777" w:rsidR="00B52971" w:rsidRPr="00ED5AD0" w:rsidRDefault="00B52971" w:rsidP="00D32888">
      <w:pPr>
        <w:widowControl w:val="0"/>
        <w:numPr>
          <w:ilvl w:val="0"/>
          <w:numId w:val="43"/>
        </w:numPr>
        <w:autoSpaceDE w:val="0"/>
        <w:autoSpaceDN w:val="0"/>
        <w:adjustRightInd w:val="0"/>
        <w:spacing w:after="120" w:line="259" w:lineRule="auto"/>
        <w:jc w:val="both"/>
        <w:rPr>
          <w:rFonts w:cs="Arial"/>
          <w:szCs w:val="24"/>
          <w:lang w:val="en-US"/>
        </w:rPr>
      </w:pPr>
      <w:r w:rsidRPr="00ED5AD0">
        <w:rPr>
          <w:rFonts w:cs="Arial"/>
          <w:szCs w:val="24"/>
          <w:lang w:val="en-US"/>
        </w:rPr>
        <w:t xml:space="preserve">whether there is any feasible possibility of exiting the individual at a lower cost. Only where there is no such possibility should a Special Severance Payment be </w:t>
      </w:r>
      <w:proofErr w:type="gramStart"/>
      <w:r w:rsidRPr="00ED5AD0">
        <w:rPr>
          <w:rFonts w:cs="Arial"/>
          <w:szCs w:val="24"/>
          <w:lang w:val="en-US"/>
        </w:rPr>
        <w:t>considered;</w:t>
      </w:r>
      <w:proofErr w:type="gramEnd"/>
    </w:p>
    <w:p w14:paraId="4507476B" w14:textId="77777777" w:rsidR="00B52971" w:rsidRPr="00ED5AD0" w:rsidRDefault="00B52971" w:rsidP="00D32888">
      <w:pPr>
        <w:widowControl w:val="0"/>
        <w:numPr>
          <w:ilvl w:val="0"/>
          <w:numId w:val="43"/>
        </w:numPr>
        <w:autoSpaceDE w:val="0"/>
        <w:autoSpaceDN w:val="0"/>
        <w:adjustRightInd w:val="0"/>
        <w:spacing w:after="120" w:line="259" w:lineRule="auto"/>
        <w:jc w:val="both"/>
        <w:rPr>
          <w:rFonts w:cs="Arial"/>
          <w:szCs w:val="24"/>
          <w:lang w:val="en-US"/>
        </w:rPr>
      </w:pPr>
      <w:r w:rsidRPr="00ED5AD0">
        <w:rPr>
          <w:rFonts w:cs="Arial"/>
          <w:szCs w:val="24"/>
          <w:lang w:val="en-US"/>
        </w:rPr>
        <w:t xml:space="preserve">how the exit payment will be perceived by the public and whether it is in line with the duty to manage taxpayers’ money </w:t>
      </w:r>
      <w:proofErr w:type="gramStart"/>
      <w:r w:rsidRPr="00ED5AD0">
        <w:rPr>
          <w:rFonts w:cs="Arial"/>
          <w:szCs w:val="24"/>
          <w:lang w:val="en-US"/>
        </w:rPr>
        <w:t>appropriately;</w:t>
      </w:r>
      <w:proofErr w:type="gramEnd"/>
    </w:p>
    <w:p w14:paraId="434BADDC" w14:textId="77777777" w:rsidR="00B52971" w:rsidRPr="00ED5AD0" w:rsidRDefault="00B52971" w:rsidP="00D32888">
      <w:pPr>
        <w:widowControl w:val="0"/>
        <w:numPr>
          <w:ilvl w:val="0"/>
          <w:numId w:val="43"/>
        </w:numPr>
        <w:autoSpaceDE w:val="0"/>
        <w:autoSpaceDN w:val="0"/>
        <w:adjustRightInd w:val="0"/>
        <w:spacing w:after="120" w:line="259" w:lineRule="auto"/>
        <w:jc w:val="both"/>
        <w:rPr>
          <w:rFonts w:cs="Arial"/>
          <w:szCs w:val="24"/>
          <w:lang w:val="en-US"/>
        </w:rPr>
      </w:pPr>
      <w:r w:rsidRPr="00ED5AD0">
        <w:rPr>
          <w:rFonts w:cs="Arial"/>
          <w:szCs w:val="24"/>
          <w:lang w:val="en-US"/>
        </w:rPr>
        <w:t xml:space="preserve">what alternative use could be made of that expenditure. All Special Severance Payments necessarily reduce the funds that would otherwise be available to deliver important public </w:t>
      </w:r>
      <w:proofErr w:type="gramStart"/>
      <w:r w:rsidRPr="00ED5AD0">
        <w:rPr>
          <w:rFonts w:cs="Arial"/>
          <w:szCs w:val="24"/>
          <w:lang w:val="en-US"/>
        </w:rPr>
        <w:t>services;</w:t>
      </w:r>
      <w:proofErr w:type="gramEnd"/>
    </w:p>
    <w:p w14:paraId="4959B088" w14:textId="77777777" w:rsidR="00B52971" w:rsidRPr="00ED5AD0" w:rsidRDefault="00B52971" w:rsidP="00D32888">
      <w:pPr>
        <w:widowControl w:val="0"/>
        <w:numPr>
          <w:ilvl w:val="0"/>
          <w:numId w:val="43"/>
        </w:numPr>
        <w:autoSpaceDE w:val="0"/>
        <w:autoSpaceDN w:val="0"/>
        <w:adjustRightInd w:val="0"/>
        <w:spacing w:after="120" w:line="259" w:lineRule="auto"/>
        <w:jc w:val="both"/>
        <w:rPr>
          <w:rFonts w:cs="Arial"/>
          <w:szCs w:val="24"/>
          <w:lang w:val="en-US"/>
        </w:rPr>
      </w:pPr>
      <w:r w:rsidRPr="00ED5AD0">
        <w:rPr>
          <w:rFonts w:cs="Arial"/>
          <w:szCs w:val="24"/>
          <w:lang w:val="en-US"/>
        </w:rPr>
        <w:t>the setting of any potential precedent (e.g. where a Special Severance Payment is made to certain employees and not others); and</w:t>
      </w:r>
    </w:p>
    <w:p w14:paraId="10D6228F" w14:textId="77777777" w:rsidR="00B52971" w:rsidRPr="00ED5AD0" w:rsidRDefault="00B52971" w:rsidP="00D32888">
      <w:pPr>
        <w:widowControl w:val="0"/>
        <w:numPr>
          <w:ilvl w:val="0"/>
          <w:numId w:val="43"/>
        </w:numPr>
        <w:autoSpaceDE w:val="0"/>
        <w:autoSpaceDN w:val="0"/>
        <w:adjustRightInd w:val="0"/>
        <w:spacing w:after="120" w:line="259" w:lineRule="auto"/>
        <w:jc w:val="both"/>
        <w:rPr>
          <w:rFonts w:cs="Arial"/>
          <w:szCs w:val="24"/>
          <w:lang w:val="en-US"/>
        </w:rPr>
      </w:pPr>
      <w:r w:rsidRPr="00ED5AD0">
        <w:rPr>
          <w:rFonts w:cs="Arial"/>
          <w:szCs w:val="24"/>
          <w:lang w:val="en-US"/>
        </w:rPr>
        <w:t>evidence for additionality i.e. that those offered Special Severance Payments would not have been willing, under any circumstances, to leave with their statutory and contractual benefits alone.</w:t>
      </w:r>
    </w:p>
    <w:p w14:paraId="01F87091" w14:textId="77777777" w:rsidR="00B52971" w:rsidRPr="00ED5AD0" w:rsidRDefault="00B52971" w:rsidP="00B52971">
      <w:pPr>
        <w:spacing w:after="120" w:line="259" w:lineRule="auto"/>
        <w:rPr>
          <w:rFonts w:cs="Arial"/>
          <w:b/>
          <w:bCs/>
          <w:i/>
          <w:iCs/>
          <w:szCs w:val="24"/>
          <w:lang w:val="en-US"/>
        </w:rPr>
      </w:pPr>
      <w:r w:rsidRPr="00ED5AD0">
        <w:rPr>
          <w:rFonts w:cs="Arial"/>
          <w:szCs w:val="24"/>
          <w:lang w:val="en-US"/>
        </w:rPr>
        <w:lastRenderedPageBreak/>
        <w:t>The Government expects that Special Severance Payments should be approved according to the following process:</w:t>
      </w:r>
    </w:p>
    <w:p w14:paraId="33030906" w14:textId="77777777" w:rsidR="00B52971" w:rsidRPr="00ED5AD0" w:rsidRDefault="00B52971" w:rsidP="00D32888">
      <w:pPr>
        <w:numPr>
          <w:ilvl w:val="0"/>
          <w:numId w:val="44"/>
        </w:numPr>
        <w:spacing w:after="120" w:line="259" w:lineRule="auto"/>
        <w:rPr>
          <w:rFonts w:cs="Arial"/>
          <w:b/>
          <w:bCs/>
          <w:i/>
          <w:iCs/>
          <w:szCs w:val="24"/>
          <w:lang w:val="en-US"/>
        </w:rPr>
      </w:pPr>
      <w:r w:rsidRPr="00ED5AD0">
        <w:rPr>
          <w:rFonts w:cs="Arial"/>
          <w:szCs w:val="24"/>
          <w:lang w:val="en-US"/>
        </w:rPr>
        <w:t xml:space="preserve">payments of £100,000 and above must be approved by a vote of full Council, as set out in the Localism Act </w:t>
      </w:r>
      <w:proofErr w:type="gramStart"/>
      <w:r w:rsidRPr="00ED5AD0">
        <w:rPr>
          <w:rFonts w:cs="Arial"/>
          <w:szCs w:val="24"/>
          <w:lang w:val="en-US"/>
        </w:rPr>
        <w:t>2011;</w:t>
      </w:r>
      <w:proofErr w:type="gramEnd"/>
    </w:p>
    <w:p w14:paraId="167DF451" w14:textId="7B560CFA" w:rsidR="00B52971" w:rsidRPr="00ED5AD0" w:rsidRDefault="00B52971" w:rsidP="00D32888">
      <w:pPr>
        <w:numPr>
          <w:ilvl w:val="0"/>
          <w:numId w:val="44"/>
        </w:numPr>
        <w:spacing w:after="120" w:line="259" w:lineRule="auto"/>
        <w:rPr>
          <w:rFonts w:cs="Arial"/>
          <w:b/>
          <w:bCs/>
          <w:i/>
          <w:iCs/>
          <w:szCs w:val="24"/>
          <w:lang w:val="en-US"/>
        </w:rPr>
      </w:pPr>
      <w:r w:rsidRPr="00ED5AD0">
        <w:rPr>
          <w:rFonts w:cs="Arial"/>
          <w:szCs w:val="24"/>
          <w:lang w:val="en-US"/>
        </w:rPr>
        <w:t xml:space="preserve">payments of £20,000 and above, but below £100,000, must be personally approved and signed off by the Head of Paid </w:t>
      </w:r>
      <w:r w:rsidR="00F406D5" w:rsidRPr="00ED5AD0">
        <w:rPr>
          <w:rFonts w:cs="Arial"/>
          <w:szCs w:val="24"/>
          <w:lang w:val="en-US"/>
        </w:rPr>
        <w:t>Service</w:t>
      </w:r>
      <w:r w:rsidRPr="00ED5AD0">
        <w:rPr>
          <w:rFonts w:cs="Arial"/>
          <w:szCs w:val="24"/>
          <w:lang w:val="en-US"/>
        </w:rPr>
        <w:t xml:space="preserve">, with a clear record of the Leader’s approval and that of any others who have signed off the </w:t>
      </w:r>
      <w:proofErr w:type="gramStart"/>
      <w:r w:rsidRPr="00ED5AD0">
        <w:rPr>
          <w:rFonts w:cs="Arial"/>
          <w:szCs w:val="24"/>
          <w:lang w:val="en-US"/>
        </w:rPr>
        <w:t>payment;</w:t>
      </w:r>
      <w:proofErr w:type="gramEnd"/>
    </w:p>
    <w:p w14:paraId="79127654" w14:textId="77777777" w:rsidR="00B52971" w:rsidRPr="00ED5AD0" w:rsidRDefault="00B52971" w:rsidP="00D32888">
      <w:pPr>
        <w:numPr>
          <w:ilvl w:val="0"/>
          <w:numId w:val="44"/>
        </w:numPr>
        <w:spacing w:after="120" w:line="259" w:lineRule="auto"/>
        <w:rPr>
          <w:rFonts w:cs="Arial"/>
          <w:b/>
          <w:bCs/>
          <w:i/>
          <w:iCs/>
          <w:szCs w:val="24"/>
          <w:lang w:val="en-US"/>
        </w:rPr>
      </w:pPr>
      <w:r w:rsidRPr="00ED5AD0">
        <w:rPr>
          <w:rFonts w:cs="Arial"/>
          <w:szCs w:val="24"/>
          <w:lang w:val="en-US"/>
        </w:rPr>
        <w:t>payments below £20,000 must be approved according to the local authority’s scheme of delegation. It is expected that local authorities should publish their policy and process for approving these payments; and</w:t>
      </w:r>
    </w:p>
    <w:p w14:paraId="5452697A" w14:textId="77777777" w:rsidR="00B52971" w:rsidRPr="00ED5AD0" w:rsidRDefault="00B52971" w:rsidP="00D32888">
      <w:pPr>
        <w:numPr>
          <w:ilvl w:val="0"/>
          <w:numId w:val="44"/>
        </w:numPr>
        <w:spacing w:after="120" w:line="259" w:lineRule="auto"/>
        <w:rPr>
          <w:rFonts w:cs="Arial"/>
          <w:b/>
          <w:bCs/>
          <w:i/>
          <w:iCs/>
          <w:szCs w:val="24"/>
          <w:lang w:val="en-US"/>
        </w:rPr>
      </w:pPr>
      <w:r w:rsidRPr="00ED5AD0">
        <w:rPr>
          <w:rFonts w:cs="Arial"/>
          <w:szCs w:val="24"/>
          <w:lang w:val="en-US"/>
        </w:rPr>
        <w:t>where the proposed payment is to the Head of Paid Service, to avoid a conflict of interest, it is expected that the payment should be approved by a Panel including at least two Independent Persons.</w:t>
      </w:r>
    </w:p>
    <w:p w14:paraId="78A55BFC" w14:textId="7C14AD98" w:rsidR="00B52971" w:rsidRPr="00ED5AD0" w:rsidRDefault="00B52971" w:rsidP="00B52971">
      <w:pPr>
        <w:spacing w:after="120" w:line="259" w:lineRule="auto"/>
        <w:rPr>
          <w:rFonts w:cs="Arial"/>
          <w:b/>
          <w:bCs/>
          <w:i/>
          <w:iCs/>
          <w:szCs w:val="24"/>
          <w:lang w:val="en-US"/>
        </w:rPr>
      </w:pPr>
      <w:r w:rsidRPr="00ED5AD0">
        <w:rPr>
          <w:rFonts w:cs="Arial"/>
          <w:szCs w:val="24"/>
          <w:lang w:val="en-US"/>
        </w:rPr>
        <w:t>The Pay Policy Statement (</w:t>
      </w:r>
      <w:r w:rsidRPr="00ED5AD0">
        <w:rPr>
          <w:rFonts w:cs="Arial"/>
          <w:bCs/>
          <w:szCs w:val="24"/>
          <w:lang w:val="en-US"/>
        </w:rPr>
        <w:t>Appendix 1</w:t>
      </w:r>
      <w:r w:rsidRPr="00ED5AD0">
        <w:rPr>
          <w:rFonts w:cs="Arial"/>
          <w:szCs w:val="24"/>
          <w:lang w:val="en-US"/>
        </w:rPr>
        <w:t>) reflect</w:t>
      </w:r>
      <w:r w:rsidR="00BE177D" w:rsidRPr="00ED5AD0">
        <w:rPr>
          <w:rFonts w:cs="Arial"/>
          <w:szCs w:val="24"/>
          <w:lang w:val="en-US"/>
        </w:rPr>
        <w:t>s</w:t>
      </w:r>
      <w:r w:rsidRPr="00ED5AD0">
        <w:rPr>
          <w:rFonts w:cs="Arial"/>
          <w:szCs w:val="24"/>
          <w:lang w:val="en-US"/>
        </w:rPr>
        <w:t xml:space="preserve"> these </w:t>
      </w:r>
      <w:proofErr w:type="gramStart"/>
      <w:r w:rsidRPr="00ED5AD0">
        <w:rPr>
          <w:rFonts w:cs="Arial"/>
          <w:szCs w:val="24"/>
          <w:lang w:val="en-US"/>
        </w:rPr>
        <w:t>require</w:t>
      </w:r>
      <w:r w:rsidR="00BE177D" w:rsidRPr="00ED5AD0">
        <w:rPr>
          <w:rFonts w:cs="Arial"/>
          <w:szCs w:val="24"/>
          <w:lang w:val="en-US"/>
        </w:rPr>
        <w:t>ments</w:t>
      </w:r>
      <w:proofErr w:type="gramEnd"/>
      <w:r w:rsidR="00BE177D" w:rsidRPr="00ED5AD0">
        <w:rPr>
          <w:rFonts w:cs="Arial"/>
          <w:szCs w:val="24"/>
          <w:lang w:val="en-US"/>
        </w:rPr>
        <w:t xml:space="preserve"> </w:t>
      </w:r>
      <w:r w:rsidRPr="00ED5AD0">
        <w:rPr>
          <w:rFonts w:cs="Arial"/>
          <w:szCs w:val="24"/>
          <w:lang w:val="en-US"/>
        </w:rPr>
        <w:t>and the statutory guidance is appended to the Pay Policy Statement</w:t>
      </w:r>
      <w:r w:rsidR="00205742" w:rsidRPr="00ED5AD0">
        <w:rPr>
          <w:rFonts w:cs="Arial"/>
          <w:szCs w:val="24"/>
          <w:lang w:val="en-US"/>
        </w:rPr>
        <w:t xml:space="preserve"> as the local policy in respect of Special Severance Payments</w:t>
      </w:r>
      <w:r w:rsidRPr="00ED5AD0">
        <w:rPr>
          <w:rFonts w:cs="Arial"/>
          <w:szCs w:val="24"/>
          <w:lang w:val="en-US"/>
        </w:rPr>
        <w:t>.</w:t>
      </w:r>
    </w:p>
    <w:p w14:paraId="07145E28" w14:textId="77777777" w:rsidR="00BE177D" w:rsidRPr="00ED5AD0" w:rsidRDefault="00BE177D" w:rsidP="00CD5CA0">
      <w:pPr>
        <w:pStyle w:val="ListParagraph"/>
        <w:shd w:val="clear" w:color="auto" w:fill="FFFFFF"/>
        <w:spacing w:after="0" w:line="240" w:lineRule="auto"/>
        <w:ind w:left="0"/>
        <w:jc w:val="both"/>
        <w:rPr>
          <w:rFonts w:cs="Arial"/>
          <w:color w:val="000000"/>
          <w:szCs w:val="24"/>
          <w:lang w:val="en" w:eastAsia="en-GB"/>
        </w:rPr>
      </w:pPr>
    </w:p>
    <w:p w14:paraId="3A30AEAC" w14:textId="55174C41" w:rsidR="00CD5CA0" w:rsidRPr="00ED5AD0" w:rsidRDefault="00BE177D"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Locally, t</w:t>
      </w:r>
      <w:r w:rsidR="00CD5CA0" w:rsidRPr="00ED5AD0">
        <w:rPr>
          <w:rFonts w:cs="Arial"/>
          <w:color w:val="000000"/>
          <w:szCs w:val="24"/>
          <w:lang w:val="en" w:eastAsia="en-GB"/>
        </w:rPr>
        <w:t xml:space="preserve">he Pay Policy Statement </w:t>
      </w:r>
      <w:r w:rsidRPr="00ED5AD0">
        <w:rPr>
          <w:rFonts w:cs="Arial"/>
          <w:color w:val="000000"/>
          <w:szCs w:val="24"/>
          <w:lang w:val="en" w:eastAsia="en-GB"/>
        </w:rPr>
        <w:t>includes other</w:t>
      </w:r>
      <w:r w:rsidR="00CD5CA0" w:rsidRPr="00ED5AD0">
        <w:rPr>
          <w:rFonts w:cs="Arial"/>
          <w:color w:val="000000"/>
          <w:szCs w:val="24"/>
          <w:lang w:val="en" w:eastAsia="en-GB"/>
        </w:rPr>
        <w:t xml:space="preserve"> information relating to the polic</w:t>
      </w:r>
      <w:r w:rsidRPr="00ED5AD0">
        <w:rPr>
          <w:rFonts w:cs="Arial"/>
          <w:color w:val="000000"/>
          <w:szCs w:val="24"/>
          <w:lang w:val="en" w:eastAsia="en-GB"/>
        </w:rPr>
        <w:t>ies</w:t>
      </w:r>
      <w:r w:rsidR="00CD5CA0" w:rsidRPr="00ED5AD0">
        <w:rPr>
          <w:rFonts w:cs="Arial"/>
          <w:color w:val="000000"/>
          <w:szCs w:val="24"/>
          <w:lang w:val="en" w:eastAsia="en-GB"/>
        </w:rPr>
        <w:t xml:space="preserve"> on employment terms and conditions for all Chief Officers</w:t>
      </w:r>
      <w:r w:rsidRPr="00ED5AD0">
        <w:rPr>
          <w:rFonts w:cs="Arial"/>
          <w:color w:val="000000"/>
          <w:szCs w:val="24"/>
          <w:lang w:val="en" w:eastAsia="en-GB"/>
        </w:rPr>
        <w:t xml:space="preserve"> including those relating to pay progression</w:t>
      </w:r>
      <w:r w:rsidR="00CD5CA0" w:rsidRPr="00ED5AD0">
        <w:rPr>
          <w:rFonts w:cs="Arial"/>
          <w:color w:val="000000"/>
          <w:szCs w:val="24"/>
          <w:lang w:val="en" w:eastAsia="en-GB"/>
        </w:rPr>
        <w:t>.</w:t>
      </w:r>
    </w:p>
    <w:p w14:paraId="78A9BFD7"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p>
    <w:p w14:paraId="2331A6A0"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b/>
          <w:bCs/>
          <w:color w:val="000000"/>
          <w:szCs w:val="24"/>
          <w:lang w:val="en" w:eastAsia="en-GB"/>
        </w:rPr>
        <w:t xml:space="preserve">The Statement must be approved by a resolution of the authority before the 31 March immediately before the financial year to which it relates </w:t>
      </w:r>
      <w:r w:rsidRPr="00ED5AD0">
        <w:rPr>
          <w:rFonts w:cs="Arial"/>
          <w:color w:val="000000"/>
          <w:szCs w:val="24"/>
          <w:lang w:val="en" w:eastAsia="en-GB"/>
        </w:rPr>
        <w:t xml:space="preserve">but may also be amended by resolution during the year; it must be published on the authority’s website as soon as possible after approval. Publishing the Pay Policy Statement in the format recommended in Appendix </w:t>
      </w:r>
      <w:r w:rsidR="00733092" w:rsidRPr="00ED5AD0">
        <w:rPr>
          <w:rFonts w:cs="Arial"/>
          <w:color w:val="000000"/>
          <w:szCs w:val="24"/>
          <w:lang w:val="en" w:eastAsia="en-GB"/>
        </w:rPr>
        <w:t>2</w:t>
      </w:r>
      <w:r w:rsidRPr="00ED5AD0">
        <w:rPr>
          <w:rFonts w:cs="Arial"/>
          <w:color w:val="000000"/>
          <w:szCs w:val="24"/>
          <w:lang w:val="en" w:eastAsia="en-GB"/>
        </w:rPr>
        <w:t xml:space="preserve"> also meets the additional requirements under the statutory elements of the Local Government </w:t>
      </w:r>
      <w:r w:rsidR="007E686D" w:rsidRPr="00ED5AD0">
        <w:rPr>
          <w:rFonts w:cs="Arial"/>
          <w:color w:val="000000"/>
          <w:szCs w:val="24"/>
          <w:lang w:val="en" w:eastAsia="en-GB"/>
        </w:rPr>
        <w:t xml:space="preserve">Transparency Code 2015 </w:t>
      </w:r>
      <w:proofErr w:type="gramStart"/>
      <w:r w:rsidRPr="00ED5AD0">
        <w:rPr>
          <w:rFonts w:cs="Arial"/>
          <w:color w:val="000000"/>
          <w:szCs w:val="24"/>
          <w:lang w:val="en" w:eastAsia="en-GB"/>
        </w:rPr>
        <w:t>in particular relating</w:t>
      </w:r>
      <w:proofErr w:type="gramEnd"/>
      <w:r w:rsidRPr="00ED5AD0">
        <w:rPr>
          <w:rFonts w:cs="Arial"/>
          <w:color w:val="000000"/>
          <w:szCs w:val="24"/>
          <w:lang w:val="en" w:eastAsia="en-GB"/>
        </w:rPr>
        <w:t xml:space="preserve"> to information about trade union facilities (time allowed for union duties), senior salaries and the pay multiple.  The</w:t>
      </w:r>
      <w:r w:rsidR="007E686D" w:rsidRPr="00ED5AD0">
        <w:rPr>
          <w:rFonts w:cs="Arial"/>
          <w:color w:val="000000"/>
          <w:szCs w:val="24"/>
          <w:lang w:val="en" w:eastAsia="en-GB"/>
        </w:rPr>
        <w:t xml:space="preserve"> earlier 2014</w:t>
      </w:r>
      <w:r w:rsidRPr="00ED5AD0">
        <w:rPr>
          <w:rFonts w:cs="Arial"/>
          <w:color w:val="000000"/>
          <w:szCs w:val="24"/>
          <w:lang w:val="en" w:eastAsia="en-GB"/>
        </w:rPr>
        <w:t xml:space="preserve"> Regulations also require that data under the Code is published on the first occasion before 3 February 2015 and annually thereafter. </w:t>
      </w:r>
      <w:proofErr w:type="gramStart"/>
      <w:r w:rsidRPr="00ED5AD0">
        <w:rPr>
          <w:rFonts w:cs="Arial"/>
          <w:color w:val="000000"/>
          <w:szCs w:val="24"/>
          <w:lang w:val="en" w:eastAsia="en-GB"/>
        </w:rPr>
        <w:t>In order to</w:t>
      </w:r>
      <w:proofErr w:type="gramEnd"/>
      <w:r w:rsidRPr="00ED5AD0">
        <w:rPr>
          <w:rFonts w:cs="Arial"/>
          <w:color w:val="000000"/>
          <w:szCs w:val="24"/>
          <w:lang w:val="en" w:eastAsia="en-GB"/>
        </w:rPr>
        <w:t xml:space="preserve"> comply with the publication requirement, it is intended that the Pay Policy Statement will be published on the Council’s website straight after the Council resolution. </w:t>
      </w:r>
    </w:p>
    <w:p w14:paraId="42D203FE"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p>
    <w:p w14:paraId="0DF00623"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The term ‘Chief Officer’ referred to above includes:</w:t>
      </w:r>
    </w:p>
    <w:p w14:paraId="4C281E8B" w14:textId="77777777" w:rsidR="00CD5CA0" w:rsidRPr="00ED5AD0" w:rsidRDefault="00CD5CA0" w:rsidP="00D32888">
      <w:pPr>
        <w:pStyle w:val="ListParagraph"/>
        <w:numPr>
          <w:ilvl w:val="0"/>
          <w:numId w:val="3"/>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The Head of Paid Service designated under section 4(1) of the Local Government and Housing Act 1989 (the Chief Executive)</w:t>
      </w:r>
    </w:p>
    <w:p w14:paraId="3A288C52" w14:textId="77777777" w:rsidR="00641858" w:rsidRPr="00ED5AD0" w:rsidRDefault="00CD5CA0" w:rsidP="00D32888">
      <w:pPr>
        <w:pStyle w:val="ListParagraph"/>
        <w:numPr>
          <w:ilvl w:val="0"/>
          <w:numId w:val="3"/>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The Monitoring Officer designated under section 5(1) of that Act </w:t>
      </w:r>
    </w:p>
    <w:p w14:paraId="409BE6C1" w14:textId="12AC00C7" w:rsidR="00CD5CA0" w:rsidRPr="00ED5AD0" w:rsidRDefault="00CD5CA0" w:rsidP="00D32888">
      <w:pPr>
        <w:pStyle w:val="ListParagraph"/>
        <w:numPr>
          <w:ilvl w:val="0"/>
          <w:numId w:val="3"/>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 statutory Chief Officer mentioned in section 2(6) of that Act (the </w:t>
      </w:r>
      <w:r w:rsidR="00F406D5" w:rsidRPr="00ED5AD0">
        <w:rPr>
          <w:rFonts w:cs="Arial"/>
          <w:color w:val="000000"/>
          <w:szCs w:val="24"/>
          <w:lang w:val="en" w:eastAsia="en-GB"/>
        </w:rPr>
        <w:t xml:space="preserve">Chief Finance Officer </w:t>
      </w:r>
      <w:r w:rsidR="00EA654F" w:rsidRPr="00ED5AD0">
        <w:rPr>
          <w:rFonts w:cs="Arial"/>
          <w:color w:val="000000"/>
          <w:szCs w:val="24"/>
          <w:lang w:val="en" w:eastAsia="en-GB"/>
        </w:rPr>
        <w:t>&amp; Section 151 Officer</w:t>
      </w:r>
      <w:r w:rsidRPr="00ED5AD0">
        <w:rPr>
          <w:rFonts w:cs="Arial"/>
          <w:color w:val="000000"/>
          <w:szCs w:val="24"/>
          <w:lang w:val="en" w:eastAsia="en-GB"/>
        </w:rPr>
        <w:t xml:space="preserve">) </w:t>
      </w:r>
    </w:p>
    <w:p w14:paraId="37F04019" w14:textId="05C0F2A7" w:rsidR="00CD5CA0" w:rsidRPr="00ED5AD0" w:rsidRDefault="00CD5CA0" w:rsidP="00D32888">
      <w:pPr>
        <w:pStyle w:val="ListParagraph"/>
        <w:numPr>
          <w:ilvl w:val="0"/>
          <w:numId w:val="3"/>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 non-statutory Chief Officer mentioned in section 2(7) of that Act (the </w:t>
      </w:r>
      <w:r w:rsidR="005103EB" w:rsidRPr="00ED5AD0">
        <w:rPr>
          <w:rFonts w:cs="Arial"/>
          <w:color w:val="000000"/>
          <w:szCs w:val="24"/>
          <w:lang w:val="en" w:eastAsia="en-GB"/>
        </w:rPr>
        <w:t>Director</w:t>
      </w:r>
      <w:r w:rsidRPr="00ED5AD0">
        <w:rPr>
          <w:rFonts w:cs="Arial"/>
          <w:color w:val="000000"/>
          <w:szCs w:val="24"/>
          <w:lang w:val="en" w:eastAsia="en-GB"/>
        </w:rPr>
        <w:t xml:space="preserve"> of</w:t>
      </w:r>
      <w:r w:rsidR="00337767" w:rsidRPr="00ED5AD0">
        <w:rPr>
          <w:rFonts w:cs="Arial"/>
          <w:color w:val="000000"/>
          <w:szCs w:val="24"/>
          <w:lang w:val="en" w:eastAsia="en-GB"/>
        </w:rPr>
        <w:t xml:space="preserve"> Operations, Director of Place and Director of Transformation</w:t>
      </w:r>
      <w:r w:rsidRPr="00ED5AD0">
        <w:rPr>
          <w:rFonts w:cs="Arial"/>
          <w:color w:val="000000"/>
          <w:szCs w:val="24"/>
          <w:lang w:val="en" w:eastAsia="en-GB"/>
        </w:rPr>
        <w:t xml:space="preserve"> by virtue of reporting directly to the Head of Paid Service</w:t>
      </w:r>
      <w:proofErr w:type="gramStart"/>
      <w:r w:rsidRPr="00ED5AD0">
        <w:rPr>
          <w:rFonts w:cs="Arial"/>
          <w:color w:val="000000"/>
          <w:szCs w:val="24"/>
          <w:lang w:val="en" w:eastAsia="en-GB"/>
        </w:rPr>
        <w:t>);</w:t>
      </w:r>
      <w:proofErr w:type="gramEnd"/>
      <w:r w:rsidRPr="00ED5AD0">
        <w:rPr>
          <w:rFonts w:cs="Arial"/>
          <w:color w:val="000000"/>
          <w:szCs w:val="24"/>
          <w:lang w:val="en" w:eastAsia="en-GB"/>
        </w:rPr>
        <w:t xml:space="preserve"> </w:t>
      </w:r>
    </w:p>
    <w:p w14:paraId="16D7CB96" w14:textId="33378A39" w:rsidR="00CD5CA0" w:rsidRPr="00ED5AD0" w:rsidRDefault="00CD5CA0" w:rsidP="00D32888">
      <w:pPr>
        <w:pStyle w:val="ListParagraph"/>
        <w:numPr>
          <w:ilvl w:val="0"/>
          <w:numId w:val="3"/>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 deputy Chief Officer mentioned in section 2(8) of that Act (all </w:t>
      </w:r>
      <w:r w:rsidR="00AD3716" w:rsidRPr="00ED5AD0">
        <w:rPr>
          <w:rFonts w:cs="Arial"/>
          <w:color w:val="000000"/>
          <w:szCs w:val="24"/>
          <w:lang w:val="en" w:eastAsia="en-GB"/>
        </w:rPr>
        <w:t>Assistant Directors)</w:t>
      </w:r>
      <w:r w:rsidRPr="00ED5AD0">
        <w:rPr>
          <w:rFonts w:cs="Arial"/>
          <w:color w:val="000000"/>
          <w:szCs w:val="24"/>
          <w:lang w:val="en" w:eastAsia="en-GB"/>
        </w:rPr>
        <w:t xml:space="preserve"> by virtue of reporting directly to statutory and non-statutory Chief Officers). </w:t>
      </w:r>
    </w:p>
    <w:p w14:paraId="6FA9FE6C" w14:textId="77777777" w:rsidR="00CD5CA0" w:rsidRPr="00ED5AD0" w:rsidRDefault="00CD5CA0" w:rsidP="00CD5CA0">
      <w:pPr>
        <w:shd w:val="clear" w:color="auto" w:fill="FFFFFF"/>
        <w:jc w:val="both"/>
        <w:rPr>
          <w:rFonts w:cs="Arial"/>
          <w:color w:val="000000"/>
          <w:sz w:val="23"/>
          <w:szCs w:val="23"/>
          <w:lang w:eastAsia="en-GB"/>
        </w:rPr>
      </w:pPr>
    </w:p>
    <w:p w14:paraId="679279A1" w14:textId="419272E8"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Of the above listed posts only the Chief Executive</w:t>
      </w:r>
      <w:r w:rsidR="00DF41CD" w:rsidRPr="00ED5AD0">
        <w:rPr>
          <w:rFonts w:cs="Arial"/>
          <w:color w:val="000000"/>
          <w:szCs w:val="24"/>
          <w:lang w:val="en" w:eastAsia="en-GB"/>
        </w:rPr>
        <w:t xml:space="preserve">, </w:t>
      </w:r>
      <w:r w:rsidR="00337767" w:rsidRPr="00ED5AD0">
        <w:rPr>
          <w:rFonts w:cs="Arial"/>
          <w:color w:val="000000"/>
          <w:szCs w:val="24"/>
          <w:lang w:val="en" w:eastAsia="en-GB"/>
        </w:rPr>
        <w:t xml:space="preserve">Deputy Chief Executive, </w:t>
      </w:r>
      <w:r w:rsidR="005103EB" w:rsidRPr="00ED5AD0">
        <w:rPr>
          <w:rFonts w:cs="Arial"/>
          <w:color w:val="000000"/>
          <w:szCs w:val="24"/>
          <w:lang w:val="en" w:eastAsia="en-GB"/>
        </w:rPr>
        <w:t>Director</w:t>
      </w:r>
      <w:r w:rsidRPr="00ED5AD0">
        <w:rPr>
          <w:rFonts w:cs="Arial"/>
          <w:color w:val="000000"/>
          <w:szCs w:val="24"/>
          <w:lang w:val="en" w:eastAsia="en-GB"/>
        </w:rPr>
        <w:t>s</w:t>
      </w:r>
      <w:r w:rsidR="00DF41CD" w:rsidRPr="00ED5AD0">
        <w:rPr>
          <w:rFonts w:cs="Arial"/>
          <w:color w:val="000000"/>
          <w:szCs w:val="24"/>
          <w:lang w:val="en" w:eastAsia="en-GB"/>
        </w:rPr>
        <w:t xml:space="preserve"> and </w:t>
      </w:r>
      <w:r w:rsidR="004D45BF" w:rsidRPr="00ED5AD0">
        <w:rPr>
          <w:rFonts w:cs="Arial"/>
          <w:color w:val="000000"/>
          <w:szCs w:val="24"/>
          <w:lang w:val="en" w:eastAsia="en-GB"/>
        </w:rPr>
        <w:t xml:space="preserve">Assistant </w:t>
      </w:r>
      <w:r w:rsidR="005103EB" w:rsidRPr="00ED5AD0">
        <w:rPr>
          <w:rFonts w:cs="Arial"/>
          <w:color w:val="000000"/>
          <w:szCs w:val="24"/>
          <w:lang w:val="en" w:eastAsia="en-GB"/>
        </w:rPr>
        <w:t>Director</w:t>
      </w:r>
      <w:r w:rsidR="004D45BF" w:rsidRPr="00ED5AD0">
        <w:rPr>
          <w:rFonts w:cs="Arial"/>
          <w:color w:val="000000"/>
          <w:szCs w:val="24"/>
          <w:lang w:val="en" w:eastAsia="en-GB"/>
        </w:rPr>
        <w:t xml:space="preserve">s </w:t>
      </w:r>
      <w:r w:rsidR="00DF41CD" w:rsidRPr="00ED5AD0">
        <w:rPr>
          <w:rFonts w:cs="Arial"/>
          <w:color w:val="000000"/>
          <w:szCs w:val="24"/>
          <w:lang w:val="en" w:eastAsia="en-GB"/>
        </w:rPr>
        <w:t>on Pay Band 4</w:t>
      </w:r>
      <w:r w:rsidRPr="00ED5AD0">
        <w:rPr>
          <w:rFonts w:cs="Arial"/>
          <w:color w:val="000000"/>
          <w:szCs w:val="24"/>
          <w:lang w:val="en" w:eastAsia="en-GB"/>
        </w:rPr>
        <w:t xml:space="preserve"> are paid a salary above </w:t>
      </w:r>
      <w:r w:rsidRPr="00ED5AD0">
        <w:rPr>
          <w:sz w:val="23"/>
          <w:szCs w:val="23"/>
        </w:rPr>
        <w:t>£</w:t>
      </w:r>
      <w:r w:rsidR="00D952E2" w:rsidRPr="00ED5AD0">
        <w:rPr>
          <w:sz w:val="23"/>
          <w:szCs w:val="23"/>
        </w:rPr>
        <w:t>70</w:t>
      </w:r>
      <w:r w:rsidRPr="00ED5AD0">
        <w:rPr>
          <w:sz w:val="23"/>
          <w:szCs w:val="23"/>
        </w:rPr>
        <w:t>,000 per annum</w:t>
      </w:r>
      <w:r w:rsidR="004D45BF" w:rsidRPr="00ED5AD0">
        <w:rPr>
          <w:sz w:val="23"/>
          <w:szCs w:val="23"/>
        </w:rPr>
        <w:t>,</w:t>
      </w:r>
      <w:r w:rsidRPr="00ED5AD0">
        <w:rPr>
          <w:rFonts w:cs="Arial"/>
          <w:color w:val="000000"/>
          <w:szCs w:val="24"/>
          <w:lang w:val="en" w:eastAsia="en-GB"/>
        </w:rPr>
        <w:t xml:space="preserve"> which is the value of the Senior Civil Service minimum pay band recommended under the Code of Practice for Data Transparency at which information on roles and remuneration of senior officers</w:t>
      </w:r>
      <w:r w:rsidR="004D45BF" w:rsidRPr="00ED5AD0">
        <w:rPr>
          <w:rFonts w:cs="Arial"/>
          <w:color w:val="000000"/>
          <w:szCs w:val="24"/>
          <w:lang w:val="en" w:eastAsia="en-GB"/>
        </w:rPr>
        <w:t>,</w:t>
      </w:r>
      <w:r w:rsidRPr="00ED5AD0">
        <w:rPr>
          <w:rFonts w:cs="Arial"/>
          <w:color w:val="000000"/>
          <w:szCs w:val="24"/>
          <w:lang w:val="en" w:eastAsia="en-GB"/>
        </w:rPr>
        <w:t xml:space="preserve"> is published.   </w:t>
      </w:r>
    </w:p>
    <w:p w14:paraId="79511430" w14:textId="77777777" w:rsidR="00CD5CA0" w:rsidRPr="00ED5AD0" w:rsidRDefault="00CD5CA0" w:rsidP="00CD5CA0">
      <w:pPr>
        <w:pStyle w:val="Default"/>
        <w:rPr>
          <w:rFonts w:eastAsia="Calibri"/>
          <w:lang w:val="en"/>
        </w:rPr>
      </w:pPr>
    </w:p>
    <w:p w14:paraId="36807B8F" w14:textId="1DD13F2A" w:rsidR="0026190E" w:rsidRPr="00ED5AD0" w:rsidRDefault="0026190E" w:rsidP="0026190E">
      <w:pPr>
        <w:jc w:val="both"/>
        <w:rPr>
          <w:rFonts w:cs="Arial"/>
          <w:color w:val="000000"/>
          <w:szCs w:val="24"/>
          <w:lang w:eastAsia="en-GB"/>
        </w:rPr>
      </w:pPr>
      <w:r w:rsidRPr="00ED5AD0">
        <w:rPr>
          <w:rFonts w:cs="Arial"/>
          <w:color w:val="000000"/>
          <w:szCs w:val="24"/>
          <w:lang w:eastAsia="en-GB"/>
        </w:rPr>
        <w:lastRenderedPageBreak/>
        <w:t xml:space="preserve">The full statement shows that the Borough Council’s local </w:t>
      </w:r>
      <w:r w:rsidRPr="00ED5AD0">
        <w:rPr>
          <w:rFonts w:cs="Arial"/>
          <w:b/>
          <w:bCs/>
          <w:color w:val="000000"/>
          <w:szCs w:val="24"/>
          <w:lang w:eastAsia="en-GB"/>
        </w:rPr>
        <w:t xml:space="preserve">ratio of </w:t>
      </w:r>
      <w:proofErr w:type="spellStart"/>
      <w:r w:rsidRPr="00ED5AD0">
        <w:rPr>
          <w:rFonts w:cs="Arial"/>
          <w:b/>
          <w:bCs/>
          <w:color w:val="000000"/>
          <w:szCs w:val="24"/>
          <w:lang w:eastAsia="en-GB"/>
        </w:rPr>
        <w:t>highest:lowest</w:t>
      </w:r>
      <w:proofErr w:type="spellEnd"/>
      <w:r w:rsidRPr="00ED5AD0">
        <w:rPr>
          <w:rFonts w:cs="Arial"/>
          <w:b/>
          <w:bCs/>
          <w:color w:val="000000"/>
          <w:szCs w:val="24"/>
          <w:lang w:eastAsia="en-GB"/>
        </w:rPr>
        <w:t xml:space="preserve"> pay rates is </w:t>
      </w:r>
      <w:r w:rsidR="00962B3C" w:rsidRPr="00ED5AD0">
        <w:rPr>
          <w:rFonts w:cs="Arial"/>
          <w:b/>
          <w:bCs/>
          <w:color w:val="000000"/>
          <w:szCs w:val="24"/>
          <w:lang w:eastAsia="en-GB"/>
        </w:rPr>
        <w:t>5.</w:t>
      </w:r>
      <w:r w:rsidR="00312656">
        <w:rPr>
          <w:rFonts w:cs="Arial"/>
          <w:b/>
          <w:bCs/>
          <w:color w:val="000000"/>
          <w:szCs w:val="24"/>
          <w:lang w:eastAsia="en-GB"/>
        </w:rPr>
        <w:t>2</w:t>
      </w:r>
      <w:r w:rsidR="00FA516B" w:rsidRPr="00ED5AD0">
        <w:rPr>
          <w:rFonts w:cs="Arial"/>
          <w:b/>
          <w:bCs/>
          <w:color w:val="000000"/>
          <w:szCs w:val="24"/>
          <w:lang w:eastAsia="en-GB"/>
        </w:rPr>
        <w:t>8</w:t>
      </w:r>
      <w:r w:rsidRPr="00ED5AD0">
        <w:rPr>
          <w:rFonts w:cs="Arial"/>
          <w:b/>
          <w:bCs/>
          <w:color w:val="000000"/>
          <w:szCs w:val="24"/>
          <w:lang w:eastAsia="en-GB"/>
        </w:rPr>
        <w:t xml:space="preserve">:1 - this compares favourably with the ratio of 20:1 </w:t>
      </w:r>
      <w:r w:rsidR="00200A15" w:rsidRPr="00ED5AD0">
        <w:rPr>
          <w:rFonts w:cs="Arial"/>
          <w:color w:val="000000"/>
          <w:szCs w:val="24"/>
          <w:lang w:eastAsia="en-GB"/>
        </w:rPr>
        <w:t xml:space="preserve">originally </w:t>
      </w:r>
      <w:r w:rsidRPr="00ED5AD0">
        <w:rPr>
          <w:rFonts w:cs="Arial"/>
          <w:color w:val="000000"/>
          <w:szCs w:val="24"/>
          <w:lang w:eastAsia="en-GB"/>
        </w:rPr>
        <w:t xml:space="preserve">suggested as a reasonable maximum figure in the original Hutton review into fair pay, and the many examples found in the private sector where multiples way </w:t>
      </w:r>
      <w:proofErr w:type="gramStart"/>
      <w:r w:rsidRPr="00ED5AD0">
        <w:rPr>
          <w:rFonts w:cs="Arial"/>
          <w:color w:val="000000"/>
          <w:szCs w:val="24"/>
          <w:lang w:eastAsia="en-GB"/>
        </w:rPr>
        <w:t>in excess of</w:t>
      </w:r>
      <w:proofErr w:type="gramEnd"/>
      <w:r w:rsidRPr="00ED5AD0">
        <w:rPr>
          <w:rFonts w:cs="Arial"/>
          <w:color w:val="000000"/>
          <w:szCs w:val="24"/>
          <w:lang w:eastAsia="en-GB"/>
        </w:rPr>
        <w:t xml:space="preserve"> this are not uncommon. </w:t>
      </w:r>
    </w:p>
    <w:p w14:paraId="7A10FC2E" w14:textId="77777777" w:rsidR="0026190E" w:rsidRPr="00ED5AD0" w:rsidRDefault="0026190E" w:rsidP="00CD5CA0">
      <w:pPr>
        <w:pStyle w:val="Default"/>
        <w:spacing w:after="140"/>
        <w:rPr>
          <w:rFonts w:eastAsia="Calibri"/>
          <w:lang w:val="en"/>
        </w:rPr>
      </w:pPr>
    </w:p>
    <w:p w14:paraId="78A76BBD" w14:textId="77777777" w:rsidR="00CD5CA0" w:rsidRPr="00ED5AD0" w:rsidRDefault="00CD5CA0" w:rsidP="00CD5CA0">
      <w:pPr>
        <w:pStyle w:val="Default"/>
        <w:spacing w:after="140"/>
        <w:rPr>
          <w:rFonts w:eastAsia="Calibri"/>
          <w:lang w:val="en"/>
        </w:rPr>
      </w:pPr>
      <w:r w:rsidRPr="00ED5AD0">
        <w:rPr>
          <w:rFonts w:eastAsia="Calibri"/>
          <w:lang w:val="en"/>
        </w:rPr>
        <w:t>Local authorities were already required to publish, under the Accounts and Audit (England) Regulations 2011 (Statutory Instrument 2011/817), both the number of employees whose remuneration in that year was at least £50,000 and details of remuneration and job title of certain senior employees whose salary is at least £50,000.</w:t>
      </w:r>
    </w:p>
    <w:p w14:paraId="49DD3BC1"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p>
    <w:p w14:paraId="474A2BF6" w14:textId="77777777"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For each “Chief Officer” as defined above, the Pay Policy Statement must include the following information:</w:t>
      </w:r>
    </w:p>
    <w:p w14:paraId="038555D6" w14:textId="77777777" w:rsidR="00CD5CA0" w:rsidRPr="00ED5AD0" w:rsidRDefault="00CD5CA0" w:rsidP="00D32888">
      <w:pPr>
        <w:pStyle w:val="ListParagraph"/>
        <w:numPr>
          <w:ilvl w:val="0"/>
          <w:numId w:val="4"/>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the Chief Officer’s salary,</w:t>
      </w:r>
    </w:p>
    <w:p w14:paraId="2D3AA193" w14:textId="77777777" w:rsidR="00CD5CA0" w:rsidRPr="00ED5AD0" w:rsidRDefault="00CD5CA0" w:rsidP="00D32888">
      <w:pPr>
        <w:pStyle w:val="ListParagraph"/>
        <w:numPr>
          <w:ilvl w:val="0"/>
          <w:numId w:val="4"/>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any bonuses payable, </w:t>
      </w:r>
    </w:p>
    <w:p w14:paraId="3D554C09" w14:textId="77777777" w:rsidR="00CD5CA0" w:rsidRPr="00ED5AD0" w:rsidRDefault="00CD5CA0" w:rsidP="00D32888">
      <w:pPr>
        <w:pStyle w:val="ListParagraph"/>
        <w:numPr>
          <w:ilvl w:val="0"/>
          <w:numId w:val="4"/>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any charges, fees or allowances payable, </w:t>
      </w:r>
    </w:p>
    <w:p w14:paraId="0C52C1A0" w14:textId="77777777" w:rsidR="00CD5CA0" w:rsidRPr="00ED5AD0" w:rsidRDefault="00CD5CA0" w:rsidP="00D32888">
      <w:pPr>
        <w:pStyle w:val="ListParagraph"/>
        <w:numPr>
          <w:ilvl w:val="0"/>
          <w:numId w:val="4"/>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any benefits in kind to which the Chief Officer is entitled, </w:t>
      </w:r>
    </w:p>
    <w:p w14:paraId="5DDACE1F" w14:textId="77777777" w:rsidR="00CD5CA0" w:rsidRPr="00ED5AD0" w:rsidRDefault="00CD5CA0" w:rsidP="00D32888">
      <w:pPr>
        <w:pStyle w:val="ListParagraph"/>
        <w:numPr>
          <w:ilvl w:val="0"/>
          <w:numId w:val="4"/>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 xml:space="preserve">any increase or enhancement to the Chief Officer’s pension entitlement, and </w:t>
      </w:r>
    </w:p>
    <w:p w14:paraId="2E22618A" w14:textId="77777777" w:rsidR="00CD5CA0" w:rsidRPr="00ED5AD0" w:rsidRDefault="00CD5CA0" w:rsidP="00D32888">
      <w:pPr>
        <w:pStyle w:val="ListParagraph"/>
        <w:numPr>
          <w:ilvl w:val="0"/>
          <w:numId w:val="4"/>
        </w:numPr>
        <w:shd w:val="clear" w:color="auto" w:fill="FFFFFF"/>
        <w:spacing w:after="0" w:line="240" w:lineRule="auto"/>
        <w:jc w:val="both"/>
        <w:rPr>
          <w:rFonts w:cs="Arial"/>
          <w:color w:val="000000"/>
          <w:szCs w:val="24"/>
          <w:lang w:val="en" w:eastAsia="en-GB"/>
        </w:rPr>
      </w:pPr>
      <w:r w:rsidRPr="00ED5AD0">
        <w:rPr>
          <w:rFonts w:cs="Arial"/>
          <w:color w:val="000000"/>
          <w:szCs w:val="24"/>
          <w:lang w:val="en" w:eastAsia="en-GB"/>
        </w:rPr>
        <w:t>any amounts payable to the Chief Officer on the Chief Officer ceasing to hold office under or be employed by the authority.</w:t>
      </w:r>
    </w:p>
    <w:p w14:paraId="7804C2A5" w14:textId="77777777" w:rsidR="00CD5CA0" w:rsidRPr="00ED5AD0" w:rsidRDefault="00CD5CA0" w:rsidP="00CD5CA0">
      <w:pPr>
        <w:shd w:val="clear" w:color="auto" w:fill="FFFFFF"/>
        <w:jc w:val="both"/>
        <w:rPr>
          <w:rFonts w:cs="Arial"/>
          <w:color w:val="000000"/>
          <w:szCs w:val="24"/>
          <w:lang w:val="en" w:eastAsia="en-GB"/>
        </w:rPr>
      </w:pPr>
    </w:p>
    <w:p w14:paraId="69AC3A23" w14:textId="77777777" w:rsidR="00C22DE7" w:rsidRPr="00ED5AD0" w:rsidRDefault="00C22DE7" w:rsidP="00C22DE7">
      <w:pPr>
        <w:rPr>
          <w:snapToGrid w:val="0"/>
        </w:rPr>
      </w:pPr>
      <w:r w:rsidRPr="00ED5AD0">
        <w:rPr>
          <w:snapToGrid w:val="0"/>
        </w:rPr>
        <w:t>From 2017, any organisation that has 250 or more employees must publish and report specific figures about their gender pay gap.</w:t>
      </w:r>
    </w:p>
    <w:p w14:paraId="0F3F36D8" w14:textId="77777777" w:rsidR="00C22DE7" w:rsidRPr="00ED5AD0" w:rsidRDefault="00C22DE7" w:rsidP="00C22DE7">
      <w:pPr>
        <w:rPr>
          <w:snapToGrid w:val="0"/>
        </w:rPr>
      </w:pPr>
    </w:p>
    <w:p w14:paraId="0727C60D" w14:textId="77777777" w:rsidR="00C22DE7" w:rsidRPr="00ED5AD0" w:rsidRDefault="00C22DE7" w:rsidP="00C22DE7">
      <w:pPr>
        <w:rPr>
          <w:snapToGrid w:val="0"/>
        </w:rPr>
      </w:pPr>
      <w:r w:rsidRPr="00ED5AD0">
        <w:rPr>
          <w:snapToGrid w:val="0"/>
        </w:rPr>
        <w:t xml:space="preserve">The gender pay gap is the difference between the average earnings of men and women, expressed relative to men’s earnings. </w:t>
      </w:r>
    </w:p>
    <w:p w14:paraId="1BE5A270" w14:textId="77777777" w:rsidR="00C22DE7" w:rsidRPr="00ED5AD0" w:rsidRDefault="00C22DE7" w:rsidP="00C22DE7">
      <w:pPr>
        <w:rPr>
          <w:snapToGrid w:val="0"/>
        </w:rPr>
      </w:pPr>
    </w:p>
    <w:p w14:paraId="539561A0" w14:textId="77777777" w:rsidR="00C22DE7" w:rsidRPr="00ED5AD0" w:rsidRDefault="00C22DE7" w:rsidP="00C22DE7">
      <w:pPr>
        <w:rPr>
          <w:snapToGrid w:val="0"/>
        </w:rPr>
      </w:pPr>
      <w:r w:rsidRPr="00ED5AD0">
        <w:rPr>
          <w:snapToGrid w:val="0"/>
        </w:rPr>
        <w:t xml:space="preserve">The data to be collected, relevant </w:t>
      </w:r>
      <w:proofErr w:type="gramStart"/>
      <w:r w:rsidRPr="00ED5AD0">
        <w:rPr>
          <w:snapToGrid w:val="0"/>
        </w:rPr>
        <w:t>at</w:t>
      </w:r>
      <w:proofErr w:type="gramEnd"/>
      <w:r w:rsidRPr="00ED5AD0">
        <w:rPr>
          <w:snapToGrid w:val="0"/>
        </w:rPr>
        <w:t xml:space="preserve"> 31 March 201</w:t>
      </w:r>
      <w:r w:rsidR="00733092" w:rsidRPr="00ED5AD0">
        <w:rPr>
          <w:snapToGrid w:val="0"/>
        </w:rPr>
        <w:t>7</w:t>
      </w:r>
      <w:r w:rsidRPr="00ED5AD0">
        <w:rPr>
          <w:snapToGrid w:val="0"/>
        </w:rPr>
        <w:t xml:space="preserve"> and each year thereafter is the:</w:t>
      </w:r>
    </w:p>
    <w:p w14:paraId="24CF2725" w14:textId="77777777" w:rsidR="00C22DE7" w:rsidRPr="00ED5AD0" w:rsidRDefault="00C22DE7" w:rsidP="00C22DE7">
      <w:pPr>
        <w:rPr>
          <w:snapToGrid w:val="0"/>
        </w:rPr>
      </w:pPr>
      <w:r w:rsidRPr="00ED5AD0">
        <w:rPr>
          <w:snapToGrid w:val="0"/>
        </w:rPr>
        <w:t>- Mean gender pay gap</w:t>
      </w:r>
    </w:p>
    <w:p w14:paraId="3A1D7F1F" w14:textId="77777777" w:rsidR="00C22DE7" w:rsidRPr="00ED5AD0" w:rsidRDefault="00C22DE7" w:rsidP="00C22DE7">
      <w:pPr>
        <w:rPr>
          <w:snapToGrid w:val="0"/>
        </w:rPr>
      </w:pPr>
      <w:r w:rsidRPr="00ED5AD0">
        <w:rPr>
          <w:snapToGrid w:val="0"/>
        </w:rPr>
        <w:t>- Median gender pay gap</w:t>
      </w:r>
    </w:p>
    <w:p w14:paraId="18A2A972" w14:textId="77777777" w:rsidR="00C22DE7" w:rsidRPr="00ED5AD0" w:rsidRDefault="00C22DE7" w:rsidP="00C22DE7">
      <w:pPr>
        <w:rPr>
          <w:snapToGrid w:val="0"/>
        </w:rPr>
      </w:pPr>
      <w:r w:rsidRPr="00ED5AD0">
        <w:rPr>
          <w:snapToGrid w:val="0"/>
        </w:rPr>
        <w:t>- Mean gender pay gap in bonus pay</w:t>
      </w:r>
    </w:p>
    <w:p w14:paraId="334B4472" w14:textId="77777777" w:rsidR="00C22DE7" w:rsidRPr="00ED5AD0" w:rsidRDefault="00C22DE7" w:rsidP="00C22DE7">
      <w:pPr>
        <w:rPr>
          <w:snapToGrid w:val="0"/>
        </w:rPr>
      </w:pPr>
      <w:r w:rsidRPr="00ED5AD0">
        <w:rPr>
          <w:snapToGrid w:val="0"/>
        </w:rPr>
        <w:t>- Median gender pay gap in bonus pay</w:t>
      </w:r>
    </w:p>
    <w:p w14:paraId="698D8E92" w14:textId="77777777" w:rsidR="00C22DE7" w:rsidRPr="00ED5AD0" w:rsidRDefault="00C22DE7" w:rsidP="00C22DE7">
      <w:pPr>
        <w:rPr>
          <w:snapToGrid w:val="0"/>
        </w:rPr>
      </w:pPr>
      <w:r w:rsidRPr="00ED5AD0">
        <w:rPr>
          <w:snapToGrid w:val="0"/>
        </w:rPr>
        <w:t>- Percentage of males and females in each of the four pay quartiles.</w:t>
      </w:r>
    </w:p>
    <w:p w14:paraId="76A369FA" w14:textId="77777777" w:rsidR="00C22DE7" w:rsidRPr="00ED5AD0" w:rsidRDefault="00C22DE7" w:rsidP="00C22DE7">
      <w:pPr>
        <w:rPr>
          <w:snapToGrid w:val="0"/>
        </w:rPr>
      </w:pPr>
    </w:p>
    <w:p w14:paraId="44E06BDE" w14:textId="29C0384E" w:rsidR="00C22DE7" w:rsidRPr="00ED5AD0" w:rsidRDefault="00C22DE7" w:rsidP="00A86A20">
      <w:pPr>
        <w:rPr>
          <w:rFonts w:cs="Arial"/>
          <w:color w:val="000000"/>
          <w:szCs w:val="24"/>
          <w:lang w:val="en" w:eastAsia="en-GB"/>
        </w:rPr>
      </w:pPr>
      <w:r w:rsidRPr="00ED5AD0">
        <w:rPr>
          <w:snapToGrid w:val="0"/>
        </w:rPr>
        <w:t xml:space="preserve">Employers must both publish their </w:t>
      </w:r>
      <w:hyperlink r:id="rId9" w:history="1">
        <w:r w:rsidRPr="00ED5AD0">
          <w:rPr>
            <w:snapToGrid w:val="0"/>
          </w:rPr>
          <w:t>gender pay gap data and a written statement</w:t>
        </w:r>
      </w:hyperlink>
      <w:r w:rsidRPr="00ED5AD0">
        <w:rPr>
          <w:snapToGrid w:val="0"/>
        </w:rPr>
        <w:t xml:space="preserve"> on their public-facing website and report their data to government online using the </w:t>
      </w:r>
      <w:hyperlink r:id="rId10" w:history="1">
        <w:r w:rsidRPr="00ED5AD0">
          <w:rPr>
            <w:snapToGrid w:val="0"/>
          </w:rPr>
          <w:t>gender pay gap reporting service</w:t>
        </w:r>
      </w:hyperlink>
      <w:r w:rsidRPr="00ED5AD0">
        <w:rPr>
          <w:snapToGrid w:val="0"/>
        </w:rPr>
        <w:t>.</w:t>
      </w:r>
      <w:r w:rsidR="00A86A20" w:rsidRPr="00ED5AD0">
        <w:rPr>
          <w:snapToGrid w:val="0"/>
        </w:rPr>
        <w:t xml:space="preserve"> The Council has done this for this year’s Gender Pay Gap data. Further to this, t</w:t>
      </w:r>
      <w:r w:rsidRPr="00ED5AD0">
        <w:rPr>
          <w:snapToGrid w:val="0"/>
        </w:rPr>
        <w:t xml:space="preserve">his year’s data and the narrative endorsed by Senior Leadership Team </w:t>
      </w:r>
      <w:r w:rsidR="00733092" w:rsidRPr="00ED5AD0">
        <w:rPr>
          <w:snapToGrid w:val="0"/>
        </w:rPr>
        <w:t xml:space="preserve">as shown in the Pay Policy Statement will be published </w:t>
      </w:r>
      <w:r w:rsidR="00A86A20" w:rsidRPr="00ED5AD0">
        <w:rPr>
          <w:snapToGrid w:val="0"/>
        </w:rPr>
        <w:t xml:space="preserve">as part of this Pay Policy Statement </w:t>
      </w:r>
      <w:r w:rsidR="00733092" w:rsidRPr="00ED5AD0">
        <w:rPr>
          <w:snapToGrid w:val="0"/>
        </w:rPr>
        <w:t>following adoption of the Statement by Council</w:t>
      </w:r>
      <w:r w:rsidRPr="00ED5AD0">
        <w:rPr>
          <w:snapToGrid w:val="0"/>
        </w:rPr>
        <w:t>.</w:t>
      </w:r>
    </w:p>
    <w:p w14:paraId="7096FBC3" w14:textId="77777777" w:rsidR="00C22DE7" w:rsidRPr="00ED5AD0" w:rsidRDefault="00C22DE7" w:rsidP="00CD5CA0">
      <w:pPr>
        <w:shd w:val="clear" w:color="auto" w:fill="FFFFFF"/>
        <w:jc w:val="both"/>
        <w:rPr>
          <w:rFonts w:cs="Arial"/>
          <w:color w:val="000000"/>
          <w:szCs w:val="24"/>
          <w:lang w:val="en" w:eastAsia="en-GB"/>
        </w:rPr>
      </w:pPr>
    </w:p>
    <w:p w14:paraId="6B45590E" w14:textId="11609344" w:rsidR="00CD5CA0" w:rsidRPr="00ED5AD0" w:rsidRDefault="00CD5CA0" w:rsidP="00CD5CA0">
      <w:pPr>
        <w:pStyle w:val="ListParagraph"/>
        <w:shd w:val="clear" w:color="auto" w:fill="FFFFFF"/>
        <w:spacing w:after="0" w:line="240" w:lineRule="auto"/>
        <w:ind w:left="0"/>
        <w:jc w:val="both"/>
        <w:rPr>
          <w:rFonts w:cs="Arial"/>
          <w:color w:val="000000"/>
          <w:szCs w:val="24"/>
          <w:lang w:val="en" w:eastAsia="en-GB"/>
        </w:rPr>
      </w:pPr>
      <w:r w:rsidRPr="00ED5AD0">
        <w:rPr>
          <w:rFonts w:cs="Arial"/>
          <w:color w:val="000000"/>
          <w:szCs w:val="24"/>
          <w:lang w:val="en" w:eastAsia="en-GB"/>
        </w:rPr>
        <w:t xml:space="preserve">Appendix </w:t>
      </w:r>
      <w:r w:rsidR="0026190E" w:rsidRPr="00ED5AD0">
        <w:rPr>
          <w:rFonts w:cs="Arial"/>
          <w:color w:val="000000"/>
          <w:szCs w:val="24"/>
          <w:lang w:val="en" w:eastAsia="en-GB"/>
        </w:rPr>
        <w:t>1</w:t>
      </w:r>
      <w:r w:rsidRPr="00ED5AD0">
        <w:rPr>
          <w:rFonts w:cs="Arial"/>
          <w:color w:val="000000"/>
          <w:szCs w:val="24"/>
          <w:lang w:val="en" w:eastAsia="en-GB"/>
        </w:rPr>
        <w:t xml:space="preserve"> shows the proposal for the full Pay Policy Statement for Gedling Borough </w:t>
      </w:r>
      <w:r w:rsidR="00D952E2" w:rsidRPr="00ED5AD0">
        <w:rPr>
          <w:rFonts w:cs="Arial"/>
          <w:color w:val="000000"/>
          <w:szCs w:val="24"/>
          <w:lang w:val="en" w:eastAsia="en-GB"/>
        </w:rPr>
        <w:t>Council for the year 202</w:t>
      </w:r>
      <w:r w:rsidR="004D45BF" w:rsidRPr="00ED5AD0">
        <w:rPr>
          <w:rFonts w:cs="Arial"/>
          <w:color w:val="000000"/>
          <w:szCs w:val="24"/>
          <w:lang w:val="en" w:eastAsia="en-GB"/>
        </w:rPr>
        <w:t>5-6</w:t>
      </w:r>
      <w:r w:rsidRPr="00ED5AD0">
        <w:rPr>
          <w:rFonts w:cs="Arial"/>
          <w:color w:val="000000"/>
          <w:szCs w:val="24"/>
          <w:lang w:val="en" w:eastAsia="en-GB"/>
        </w:rPr>
        <w:t xml:space="preserve">. </w:t>
      </w:r>
    </w:p>
    <w:p w14:paraId="5E76599B" w14:textId="77777777" w:rsidR="00CD5CA0" w:rsidRPr="00ED5AD0" w:rsidRDefault="00CD5CA0" w:rsidP="00CD5CA0">
      <w:pPr>
        <w:jc w:val="both"/>
        <w:rPr>
          <w:rFonts w:cs="Arial"/>
          <w:szCs w:val="24"/>
        </w:rPr>
      </w:pPr>
      <w:r w:rsidRPr="00ED5AD0">
        <w:rPr>
          <w:rFonts w:cs="Arial"/>
          <w:szCs w:val="24"/>
        </w:rPr>
        <w:t xml:space="preserve"> </w:t>
      </w:r>
    </w:p>
    <w:p w14:paraId="7D588252" w14:textId="77777777" w:rsidR="00C22DE7" w:rsidRPr="00ED5AD0" w:rsidRDefault="00C22DE7" w:rsidP="00C22DE7">
      <w:pPr>
        <w:jc w:val="both"/>
        <w:rPr>
          <w:rFonts w:cs="Arial"/>
          <w:color w:val="000000"/>
          <w:szCs w:val="24"/>
          <w:lang w:val="en" w:eastAsia="en-GB"/>
        </w:rPr>
      </w:pPr>
      <w:r w:rsidRPr="00ED5AD0">
        <w:rPr>
          <w:rFonts w:cs="Arial"/>
          <w:color w:val="000000"/>
          <w:szCs w:val="24"/>
          <w:lang w:val="en" w:eastAsia="en-GB"/>
        </w:rPr>
        <w:t xml:space="preserve">During any year, changes to policy approved by Committee and minor amendments to levels of earnings resulting from annual </w:t>
      </w:r>
      <w:proofErr w:type="gramStart"/>
      <w:r w:rsidRPr="00ED5AD0">
        <w:rPr>
          <w:rFonts w:cs="Arial"/>
          <w:color w:val="000000"/>
          <w:szCs w:val="24"/>
          <w:lang w:val="en" w:eastAsia="en-GB"/>
        </w:rPr>
        <w:t>nationally-determined</w:t>
      </w:r>
      <w:proofErr w:type="gramEnd"/>
      <w:r w:rsidRPr="00ED5AD0">
        <w:rPr>
          <w:rFonts w:cs="Arial"/>
          <w:color w:val="000000"/>
          <w:szCs w:val="24"/>
          <w:lang w:val="en" w:eastAsia="en-GB"/>
        </w:rPr>
        <w:t xml:space="preserve"> pay awards may be made to the published policy during the year without further referral back to Council.  Otherwise, each year a Pay Policy Statement will be brought back to Council for formal approval and adoption.</w:t>
      </w:r>
    </w:p>
    <w:p w14:paraId="478C7D06" w14:textId="77777777" w:rsidR="00494891" w:rsidRPr="00ED5AD0" w:rsidRDefault="00494891" w:rsidP="00C22DE7">
      <w:pPr>
        <w:jc w:val="both"/>
        <w:rPr>
          <w:rFonts w:cs="Arial"/>
          <w:color w:val="000000"/>
          <w:szCs w:val="24"/>
          <w:lang w:val="en" w:eastAsia="en-GB"/>
        </w:rPr>
      </w:pPr>
    </w:p>
    <w:p w14:paraId="73A5251F" w14:textId="77777777" w:rsidR="00962B3C" w:rsidRPr="00ED5AD0" w:rsidRDefault="00962B3C" w:rsidP="00C22DE7">
      <w:pPr>
        <w:jc w:val="both"/>
        <w:rPr>
          <w:rFonts w:cs="Arial"/>
          <w:color w:val="000000"/>
          <w:szCs w:val="24"/>
          <w:lang w:val="en" w:eastAsia="en-GB"/>
        </w:rPr>
      </w:pPr>
    </w:p>
    <w:p w14:paraId="218DFD37" w14:textId="77777777" w:rsidR="00962B3C" w:rsidRPr="00ED5AD0" w:rsidRDefault="00962B3C" w:rsidP="00C22DE7">
      <w:pPr>
        <w:jc w:val="both"/>
        <w:rPr>
          <w:rFonts w:cs="Arial"/>
          <w:color w:val="000000"/>
          <w:szCs w:val="24"/>
          <w:lang w:val="en" w:eastAsia="en-GB"/>
        </w:rPr>
      </w:pPr>
    </w:p>
    <w:p w14:paraId="5F37F0A2" w14:textId="77777777" w:rsidR="00962B3C" w:rsidRPr="00ED5AD0" w:rsidRDefault="00962B3C" w:rsidP="00C22DE7">
      <w:pPr>
        <w:jc w:val="both"/>
        <w:rPr>
          <w:rFonts w:cs="Arial"/>
          <w:color w:val="000000"/>
          <w:szCs w:val="24"/>
          <w:lang w:val="en" w:eastAsia="en-GB"/>
        </w:rPr>
      </w:pPr>
    </w:p>
    <w:p w14:paraId="001765E6" w14:textId="77777777" w:rsidR="00494891" w:rsidRPr="00ED5AD0" w:rsidRDefault="00962B3C" w:rsidP="00875842">
      <w:pPr>
        <w:jc w:val="both"/>
        <w:rPr>
          <w:rFonts w:cs="Arial"/>
          <w:b/>
          <w:color w:val="000000"/>
          <w:szCs w:val="24"/>
          <w:lang w:val="en" w:eastAsia="en-GB"/>
        </w:rPr>
      </w:pPr>
      <w:r w:rsidRPr="00ED5AD0">
        <w:rPr>
          <w:rFonts w:cs="Arial"/>
          <w:b/>
          <w:color w:val="000000"/>
          <w:szCs w:val="24"/>
          <w:lang w:val="en" w:eastAsia="en-GB"/>
        </w:rPr>
        <w:lastRenderedPageBreak/>
        <w:t>Summary data</w:t>
      </w:r>
    </w:p>
    <w:p w14:paraId="1CACE360" w14:textId="77777777" w:rsidR="00962B3C" w:rsidRPr="00ED5AD0" w:rsidRDefault="00962B3C" w:rsidP="00CD5CA0">
      <w:pPr>
        <w:jc w:val="both"/>
        <w:rPr>
          <w:rFonts w:cs="Arial"/>
          <w:szCs w:val="24"/>
        </w:rPr>
      </w:pPr>
    </w:p>
    <w:p w14:paraId="2F9BA3E8" w14:textId="77777777" w:rsidR="00962B3C" w:rsidRPr="00ED5AD0" w:rsidRDefault="00962B3C" w:rsidP="00CD5CA0">
      <w:pPr>
        <w:jc w:val="both"/>
        <w:rPr>
          <w:rFonts w:cs="Arial"/>
          <w:szCs w:val="24"/>
        </w:rPr>
      </w:pPr>
      <w:r w:rsidRPr="00ED5AD0">
        <w:rPr>
          <w:rFonts w:cs="Arial"/>
          <w:szCs w:val="24"/>
        </w:rPr>
        <w:t xml:space="preserve">Below is a summary of the key data contained in this year’s Pay Policy Statement. </w:t>
      </w:r>
    </w:p>
    <w:p w14:paraId="00EBCE15" w14:textId="77777777" w:rsidR="00962B3C" w:rsidRPr="00ED5AD0" w:rsidRDefault="00962B3C" w:rsidP="00CD5CA0">
      <w:pPr>
        <w:jc w:val="both"/>
        <w:rPr>
          <w:rFonts w:cs="Arial"/>
          <w:szCs w:val="24"/>
        </w:rPr>
      </w:pPr>
    </w:p>
    <w:p w14:paraId="3CE561EA" w14:textId="41AED232" w:rsidR="00FB1281" w:rsidRPr="00ED5AD0" w:rsidRDefault="00962B3C" w:rsidP="00CD5CA0">
      <w:pPr>
        <w:jc w:val="both"/>
        <w:rPr>
          <w:rFonts w:cs="Arial"/>
          <w:szCs w:val="24"/>
        </w:rPr>
      </w:pPr>
      <w:r w:rsidRPr="00ED5AD0">
        <w:rPr>
          <w:rFonts w:cs="Arial"/>
          <w:szCs w:val="24"/>
        </w:rPr>
        <w:t xml:space="preserve">The </w:t>
      </w:r>
      <w:r w:rsidR="00495BF0" w:rsidRPr="00ED5AD0">
        <w:rPr>
          <w:rFonts w:cs="Arial"/>
          <w:szCs w:val="24"/>
        </w:rPr>
        <w:t xml:space="preserve">data for Gedling is current </w:t>
      </w:r>
      <w:proofErr w:type="gramStart"/>
      <w:r w:rsidR="00495BF0" w:rsidRPr="00ED5AD0">
        <w:rPr>
          <w:rFonts w:cs="Arial"/>
          <w:szCs w:val="24"/>
        </w:rPr>
        <w:t>at</w:t>
      </w:r>
      <w:proofErr w:type="gramEnd"/>
      <w:r w:rsidR="00495BF0" w:rsidRPr="00ED5AD0">
        <w:rPr>
          <w:rFonts w:cs="Arial"/>
          <w:szCs w:val="24"/>
        </w:rPr>
        <w:t xml:space="preserve"> 30</w:t>
      </w:r>
      <w:r w:rsidRPr="00ED5AD0">
        <w:rPr>
          <w:rFonts w:cs="Arial"/>
          <w:szCs w:val="24"/>
        </w:rPr>
        <w:t xml:space="preserve"> November each year. This year the national pay award was settled </w:t>
      </w:r>
      <w:r w:rsidR="00FB1281" w:rsidRPr="00ED5AD0">
        <w:rPr>
          <w:rFonts w:cs="Arial"/>
          <w:szCs w:val="24"/>
        </w:rPr>
        <w:t xml:space="preserve">on 1 </w:t>
      </w:r>
      <w:r w:rsidRPr="00ED5AD0">
        <w:rPr>
          <w:rFonts w:cs="Arial"/>
          <w:szCs w:val="24"/>
        </w:rPr>
        <w:t>November and was backdated to 1 April. The award</w:t>
      </w:r>
      <w:r w:rsidR="000803C9" w:rsidRPr="00ED5AD0">
        <w:rPr>
          <w:rFonts w:cs="Arial"/>
          <w:szCs w:val="24"/>
        </w:rPr>
        <w:t xml:space="preserve"> for NJC employees</w:t>
      </w:r>
      <w:r w:rsidRPr="00ED5AD0">
        <w:rPr>
          <w:rFonts w:cs="Arial"/>
          <w:szCs w:val="24"/>
        </w:rPr>
        <w:t>, in terms of pay, was an addition of £1,</w:t>
      </w:r>
      <w:r w:rsidR="004D45BF" w:rsidRPr="00ED5AD0">
        <w:rPr>
          <w:rFonts w:cs="Arial"/>
          <w:szCs w:val="24"/>
        </w:rPr>
        <w:t>290</w:t>
      </w:r>
      <w:r w:rsidRPr="00ED5AD0">
        <w:rPr>
          <w:rFonts w:cs="Arial"/>
          <w:szCs w:val="24"/>
        </w:rPr>
        <w:t xml:space="preserve"> to each </w:t>
      </w:r>
      <w:r w:rsidR="007E1C25" w:rsidRPr="00ED5AD0">
        <w:rPr>
          <w:rFonts w:cs="Arial"/>
          <w:szCs w:val="24"/>
        </w:rPr>
        <w:t>pay point in the scale (pro rata for part-time employees)</w:t>
      </w:r>
      <w:r w:rsidR="00FB1281" w:rsidRPr="00ED5AD0">
        <w:rPr>
          <w:rFonts w:cs="Arial"/>
          <w:szCs w:val="24"/>
        </w:rPr>
        <w:t xml:space="preserve"> up to SCP 43 and a </w:t>
      </w:r>
      <w:r w:rsidR="00A86A8F" w:rsidRPr="00ED5AD0">
        <w:rPr>
          <w:rFonts w:cs="Arial"/>
          <w:szCs w:val="24"/>
        </w:rPr>
        <w:t>2.5</w:t>
      </w:r>
      <w:r w:rsidR="00FB1281" w:rsidRPr="00ED5AD0">
        <w:rPr>
          <w:rFonts w:cs="Arial"/>
          <w:szCs w:val="24"/>
        </w:rPr>
        <w:t>% award for SCP 44 and above</w:t>
      </w:r>
      <w:r w:rsidR="007E1C25" w:rsidRPr="00ED5AD0">
        <w:rPr>
          <w:rFonts w:cs="Arial"/>
          <w:szCs w:val="24"/>
        </w:rPr>
        <w:t xml:space="preserve">. </w:t>
      </w:r>
    </w:p>
    <w:p w14:paraId="1CF10512" w14:textId="77777777" w:rsidR="00FB1281" w:rsidRPr="00ED5AD0" w:rsidRDefault="00FB1281" w:rsidP="00CD5CA0">
      <w:pPr>
        <w:jc w:val="both"/>
        <w:rPr>
          <w:rFonts w:cs="Arial"/>
          <w:szCs w:val="24"/>
        </w:rPr>
      </w:pPr>
    </w:p>
    <w:p w14:paraId="791AA75A" w14:textId="6C9C4D9F" w:rsidR="00FB1281" w:rsidRPr="00ED5AD0" w:rsidRDefault="007E1C25" w:rsidP="00CD5CA0">
      <w:pPr>
        <w:jc w:val="both"/>
        <w:rPr>
          <w:rFonts w:cs="Arial"/>
          <w:szCs w:val="24"/>
        </w:rPr>
      </w:pPr>
      <w:r w:rsidRPr="00ED5AD0">
        <w:rPr>
          <w:rFonts w:cs="Arial"/>
          <w:szCs w:val="24"/>
        </w:rPr>
        <w:t>This mean</w:t>
      </w:r>
      <w:r w:rsidR="00FB1281" w:rsidRPr="00ED5AD0">
        <w:rPr>
          <w:rFonts w:cs="Arial"/>
          <w:szCs w:val="24"/>
        </w:rPr>
        <w:t>s</w:t>
      </w:r>
      <w:r w:rsidRPr="00ED5AD0">
        <w:rPr>
          <w:rFonts w:cs="Arial"/>
          <w:szCs w:val="24"/>
        </w:rPr>
        <w:t xml:space="preserve"> that for </w:t>
      </w:r>
      <w:r w:rsidR="001379E1" w:rsidRPr="00ED5AD0">
        <w:rPr>
          <w:rFonts w:cs="Arial"/>
          <w:szCs w:val="24"/>
        </w:rPr>
        <w:t>our</w:t>
      </w:r>
      <w:r w:rsidRPr="00ED5AD0">
        <w:rPr>
          <w:rFonts w:cs="Arial"/>
          <w:szCs w:val="24"/>
        </w:rPr>
        <w:t xml:space="preserve"> lowest paid employees there has been a pay award of </w:t>
      </w:r>
      <w:r w:rsidR="00A86A8F" w:rsidRPr="00ED5AD0">
        <w:rPr>
          <w:rFonts w:cs="Arial"/>
          <w:szCs w:val="24"/>
        </w:rPr>
        <w:t>5.5</w:t>
      </w:r>
      <w:r w:rsidRPr="00ED5AD0">
        <w:rPr>
          <w:rFonts w:cs="Arial"/>
          <w:szCs w:val="24"/>
        </w:rPr>
        <w:t xml:space="preserve">% applied. </w:t>
      </w:r>
    </w:p>
    <w:p w14:paraId="3B12FAE5" w14:textId="77777777" w:rsidR="00FB1281" w:rsidRPr="00ED5AD0" w:rsidRDefault="00FB1281" w:rsidP="00CD5CA0">
      <w:pPr>
        <w:jc w:val="both"/>
        <w:rPr>
          <w:rFonts w:cs="Arial"/>
          <w:szCs w:val="24"/>
        </w:rPr>
      </w:pPr>
    </w:p>
    <w:p w14:paraId="4A9CE37E" w14:textId="3F3067C2" w:rsidR="007E1C25" w:rsidRPr="00ED5AD0" w:rsidRDefault="00F172F1" w:rsidP="00CD5CA0">
      <w:pPr>
        <w:jc w:val="both"/>
        <w:rPr>
          <w:rFonts w:cs="Arial"/>
          <w:szCs w:val="24"/>
        </w:rPr>
      </w:pPr>
      <w:r w:rsidRPr="00ED5AD0">
        <w:rPr>
          <w:rFonts w:cs="Arial"/>
          <w:szCs w:val="24"/>
        </w:rPr>
        <w:t>A</w:t>
      </w:r>
      <w:r w:rsidR="00C55F5A" w:rsidRPr="00ED5AD0">
        <w:rPr>
          <w:rFonts w:cs="Arial"/>
          <w:szCs w:val="24"/>
        </w:rPr>
        <w:t xml:space="preserve"> comparison against last year’s</w:t>
      </w:r>
      <w:r w:rsidR="00515A8F" w:rsidRPr="00ED5AD0">
        <w:rPr>
          <w:rFonts w:cs="Arial"/>
          <w:szCs w:val="24"/>
        </w:rPr>
        <w:t xml:space="preserve"> pay d</w:t>
      </w:r>
      <w:r w:rsidR="00C55F5A" w:rsidRPr="00ED5AD0">
        <w:rPr>
          <w:rFonts w:cs="Arial"/>
          <w:szCs w:val="24"/>
        </w:rPr>
        <w:t>ata is shown</w:t>
      </w:r>
      <w:r w:rsidR="00FB1281" w:rsidRPr="00ED5AD0">
        <w:rPr>
          <w:rFonts w:cs="Arial"/>
          <w:szCs w:val="24"/>
        </w:rPr>
        <w:t>. T</w:t>
      </w:r>
      <w:r w:rsidR="00C55F5A" w:rsidRPr="00ED5AD0">
        <w:rPr>
          <w:rFonts w:cs="Arial"/>
          <w:szCs w:val="24"/>
        </w:rPr>
        <w:t>he effects of the national pay award</w:t>
      </w:r>
      <w:r w:rsidRPr="00ED5AD0">
        <w:rPr>
          <w:rFonts w:cs="Arial"/>
          <w:szCs w:val="24"/>
        </w:rPr>
        <w:t xml:space="preserve"> being a fixed figure (£1,</w:t>
      </w:r>
      <w:r w:rsidR="00A86A8F" w:rsidRPr="00ED5AD0">
        <w:rPr>
          <w:rFonts w:cs="Arial"/>
          <w:szCs w:val="24"/>
        </w:rPr>
        <w:t>290</w:t>
      </w:r>
      <w:r w:rsidRPr="00ED5AD0">
        <w:rPr>
          <w:rFonts w:cs="Arial"/>
          <w:szCs w:val="24"/>
        </w:rPr>
        <w:t>)</w:t>
      </w:r>
      <w:r w:rsidR="00C55F5A" w:rsidRPr="00ED5AD0">
        <w:rPr>
          <w:rFonts w:cs="Arial"/>
          <w:szCs w:val="24"/>
        </w:rPr>
        <w:t xml:space="preserve"> improve</w:t>
      </w:r>
      <w:r w:rsidRPr="00ED5AD0">
        <w:rPr>
          <w:rFonts w:cs="Arial"/>
          <w:szCs w:val="24"/>
        </w:rPr>
        <w:t>s</w:t>
      </w:r>
      <w:r w:rsidR="00C55F5A" w:rsidRPr="00ED5AD0">
        <w:rPr>
          <w:rFonts w:cs="Arial"/>
          <w:szCs w:val="24"/>
        </w:rPr>
        <w:t xml:space="preserve"> the ratios of low pay against high and average pay</w:t>
      </w:r>
      <w:r w:rsidRPr="00ED5AD0">
        <w:rPr>
          <w:rFonts w:cs="Arial"/>
          <w:szCs w:val="24"/>
        </w:rPr>
        <w:t xml:space="preserve"> but making more of a material difference were local pay changes. </w:t>
      </w:r>
      <w:r w:rsidR="005A12F2" w:rsidRPr="00ED5AD0">
        <w:rPr>
          <w:rFonts w:cs="Arial"/>
          <w:szCs w:val="24"/>
        </w:rPr>
        <w:t xml:space="preserve">It reduces the gap. </w:t>
      </w:r>
      <w:r w:rsidR="000803C9" w:rsidRPr="00ED5AD0">
        <w:rPr>
          <w:rFonts w:cs="Arial"/>
          <w:szCs w:val="24"/>
        </w:rPr>
        <w:t xml:space="preserve">Chief Officers settled their national pay award claim at </w:t>
      </w:r>
      <w:r w:rsidR="00E46E49" w:rsidRPr="00ED5AD0">
        <w:rPr>
          <w:rFonts w:cs="Arial"/>
          <w:szCs w:val="24"/>
        </w:rPr>
        <w:t>2</w:t>
      </w:r>
      <w:r w:rsidR="000803C9" w:rsidRPr="00ED5AD0">
        <w:rPr>
          <w:rFonts w:cs="Arial"/>
          <w:szCs w:val="24"/>
        </w:rPr>
        <w:t xml:space="preserve">.5%. </w:t>
      </w:r>
    </w:p>
    <w:p w14:paraId="7FD035C2" w14:textId="77777777" w:rsidR="007E1C25" w:rsidRPr="00ED5AD0" w:rsidRDefault="005A43E0" w:rsidP="005A43E0">
      <w:pPr>
        <w:pStyle w:val="ListParagraph"/>
        <w:shd w:val="clear" w:color="auto" w:fill="FFFFFF"/>
        <w:spacing w:after="0" w:line="240" w:lineRule="auto"/>
        <w:ind w:left="0" w:hanging="426"/>
        <w:jc w:val="both"/>
        <w:rPr>
          <w:rFonts w:cs="Arial"/>
          <w:szCs w:val="24"/>
        </w:rPr>
      </w:pPr>
      <w:r w:rsidRPr="00ED5AD0">
        <w:rPr>
          <w:rFonts w:cs="Arial"/>
          <w:szCs w:val="24"/>
        </w:rPr>
        <w:tab/>
      </w:r>
      <w:bookmarkStart w:id="1" w:name="_Hlk182213657"/>
    </w:p>
    <w:tbl>
      <w:tblPr>
        <w:tblpPr w:leftFromText="180" w:rightFromText="180" w:vertAnchor="text" w:horzAnchor="margin" w:tblpY="27"/>
        <w:tblW w:w="10060" w:type="dxa"/>
        <w:tblLayout w:type="fixed"/>
        <w:tblLook w:val="04A0" w:firstRow="1" w:lastRow="0" w:firstColumn="1" w:lastColumn="0" w:noHBand="0" w:noVBand="1"/>
      </w:tblPr>
      <w:tblGrid>
        <w:gridCol w:w="4815"/>
        <w:gridCol w:w="2410"/>
        <w:gridCol w:w="2835"/>
      </w:tblGrid>
      <w:tr w:rsidR="00C55F5A" w:rsidRPr="00ED5AD0" w14:paraId="2E31013E" w14:textId="77777777" w:rsidTr="0028309C">
        <w:trPr>
          <w:trHeight w:val="639"/>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AB3D46" w14:textId="77777777" w:rsidR="00C55F5A" w:rsidRPr="00ED5AD0" w:rsidRDefault="00C55F5A" w:rsidP="007E1C25">
            <w:pPr>
              <w:ind w:left="-284" w:firstLine="426"/>
              <w:rPr>
                <w:rFonts w:cs="Arial"/>
                <w:b/>
                <w:bCs/>
                <w:color w:val="000000"/>
                <w:sz w:val="20"/>
                <w:lang w:eastAsia="en-GB"/>
              </w:rPr>
            </w:pPr>
            <w:bookmarkStart w:id="2" w:name="_Hlk149666428"/>
            <w:r w:rsidRPr="00ED5AD0">
              <w:rPr>
                <w:rFonts w:cs="Arial"/>
                <w:b/>
                <w:bCs/>
                <w:color w:val="000000"/>
                <w:sz w:val="20"/>
                <w:lang w:eastAsia="en-GB"/>
              </w:rPr>
              <w:t> </w:t>
            </w:r>
          </w:p>
        </w:tc>
        <w:tc>
          <w:tcPr>
            <w:tcW w:w="2410" w:type="dxa"/>
            <w:tcBorders>
              <w:top w:val="single" w:sz="4" w:space="0" w:color="auto"/>
              <w:left w:val="nil"/>
              <w:bottom w:val="single" w:sz="4" w:space="0" w:color="auto"/>
              <w:right w:val="single" w:sz="4" w:space="0" w:color="auto"/>
            </w:tcBorders>
            <w:shd w:val="clear" w:color="auto" w:fill="auto"/>
            <w:hideMark/>
          </w:tcPr>
          <w:p w14:paraId="515A928D" w14:textId="35015F40" w:rsidR="00C55F5A" w:rsidRPr="00ED5AD0" w:rsidRDefault="00C55F5A" w:rsidP="00495BF0">
            <w:pPr>
              <w:jc w:val="center"/>
              <w:rPr>
                <w:rFonts w:cs="Arial"/>
                <w:b/>
                <w:bCs/>
                <w:color w:val="000000"/>
                <w:szCs w:val="24"/>
                <w:lang w:eastAsia="en-GB"/>
              </w:rPr>
            </w:pPr>
            <w:r w:rsidRPr="00ED5AD0">
              <w:rPr>
                <w:rFonts w:cs="Arial"/>
                <w:b/>
                <w:bCs/>
                <w:color w:val="000000"/>
                <w:szCs w:val="24"/>
                <w:lang w:eastAsia="en-GB"/>
              </w:rPr>
              <w:t xml:space="preserve">Data correct </w:t>
            </w:r>
            <w:proofErr w:type="gramStart"/>
            <w:r w:rsidRPr="00ED5AD0">
              <w:rPr>
                <w:rFonts w:cs="Arial"/>
                <w:b/>
                <w:bCs/>
                <w:color w:val="000000"/>
                <w:szCs w:val="24"/>
                <w:lang w:eastAsia="en-GB"/>
              </w:rPr>
              <w:t>at</w:t>
            </w:r>
            <w:proofErr w:type="gramEnd"/>
            <w:r w:rsidRPr="00ED5AD0">
              <w:rPr>
                <w:rFonts w:cs="Arial"/>
                <w:b/>
                <w:bCs/>
                <w:color w:val="000000"/>
                <w:szCs w:val="24"/>
                <w:lang w:eastAsia="en-GB"/>
              </w:rPr>
              <w:t xml:space="preserve"> </w:t>
            </w:r>
            <w:r w:rsidR="00495BF0" w:rsidRPr="00ED5AD0">
              <w:rPr>
                <w:rFonts w:cs="Arial"/>
                <w:b/>
                <w:bCs/>
                <w:color w:val="000000"/>
                <w:szCs w:val="24"/>
                <w:lang w:eastAsia="en-GB"/>
              </w:rPr>
              <w:t>30</w:t>
            </w:r>
            <w:r w:rsidRPr="00ED5AD0">
              <w:rPr>
                <w:rFonts w:cs="Arial"/>
                <w:b/>
                <w:bCs/>
                <w:color w:val="000000"/>
                <w:szCs w:val="24"/>
                <w:lang w:eastAsia="en-GB"/>
              </w:rPr>
              <w:t xml:space="preserve"> November</w:t>
            </w:r>
            <w:r w:rsidR="001A5CBD" w:rsidRPr="00ED5AD0">
              <w:rPr>
                <w:rFonts w:cs="Arial"/>
                <w:b/>
                <w:bCs/>
                <w:color w:val="000000"/>
                <w:szCs w:val="24"/>
                <w:lang w:eastAsia="en-GB"/>
              </w:rPr>
              <w:t>. Includes 202</w:t>
            </w:r>
            <w:r w:rsidR="002E3F80" w:rsidRPr="00ED5AD0">
              <w:rPr>
                <w:rFonts w:cs="Arial"/>
                <w:b/>
                <w:bCs/>
                <w:color w:val="000000"/>
                <w:szCs w:val="24"/>
                <w:lang w:eastAsia="en-GB"/>
              </w:rPr>
              <w:t>4</w:t>
            </w:r>
            <w:r w:rsidR="001A5CBD" w:rsidRPr="00ED5AD0">
              <w:rPr>
                <w:rFonts w:cs="Arial"/>
                <w:b/>
                <w:bCs/>
                <w:color w:val="000000"/>
                <w:szCs w:val="24"/>
                <w:lang w:eastAsia="en-GB"/>
              </w:rPr>
              <w:t>/2</w:t>
            </w:r>
            <w:r w:rsidR="002E3F80" w:rsidRPr="00ED5AD0">
              <w:rPr>
                <w:rFonts w:cs="Arial"/>
                <w:b/>
                <w:bCs/>
                <w:color w:val="000000"/>
                <w:szCs w:val="24"/>
                <w:lang w:eastAsia="en-GB"/>
              </w:rPr>
              <w:t>5</w:t>
            </w:r>
            <w:r w:rsidR="001A5CBD" w:rsidRPr="00ED5AD0">
              <w:rPr>
                <w:rFonts w:cs="Arial"/>
                <w:b/>
                <w:bCs/>
                <w:color w:val="000000"/>
                <w:szCs w:val="24"/>
                <w:lang w:eastAsia="en-GB"/>
              </w:rPr>
              <w:t xml:space="preserve"> </w:t>
            </w:r>
            <w:r w:rsidR="00044276" w:rsidRPr="00ED5AD0">
              <w:rPr>
                <w:rFonts w:cs="Arial"/>
                <w:b/>
                <w:bCs/>
                <w:color w:val="000000"/>
                <w:szCs w:val="24"/>
                <w:lang w:eastAsia="en-GB"/>
              </w:rPr>
              <w:t>national p</w:t>
            </w:r>
            <w:r w:rsidR="001A5CBD" w:rsidRPr="00ED5AD0">
              <w:rPr>
                <w:rFonts w:cs="Arial"/>
                <w:b/>
                <w:bCs/>
                <w:color w:val="000000"/>
                <w:szCs w:val="24"/>
                <w:lang w:eastAsia="en-GB"/>
              </w:rPr>
              <w:t xml:space="preserve">ay </w:t>
            </w:r>
            <w:r w:rsidR="00044276" w:rsidRPr="00ED5AD0">
              <w:rPr>
                <w:rFonts w:cs="Arial"/>
                <w:b/>
                <w:bCs/>
                <w:color w:val="000000"/>
                <w:szCs w:val="24"/>
                <w:lang w:eastAsia="en-GB"/>
              </w:rPr>
              <w:t>a</w:t>
            </w:r>
            <w:r w:rsidR="001A5CBD" w:rsidRPr="00ED5AD0">
              <w:rPr>
                <w:rFonts w:cs="Arial"/>
                <w:b/>
                <w:bCs/>
                <w:color w:val="000000"/>
                <w:szCs w:val="24"/>
                <w:lang w:eastAsia="en-GB"/>
              </w:rPr>
              <w:t xml:space="preserve">ward </w:t>
            </w:r>
          </w:p>
        </w:tc>
        <w:tc>
          <w:tcPr>
            <w:tcW w:w="2835" w:type="dxa"/>
            <w:tcBorders>
              <w:top w:val="single" w:sz="4" w:space="0" w:color="auto"/>
              <w:left w:val="nil"/>
              <w:bottom w:val="single" w:sz="4" w:space="0" w:color="auto"/>
              <w:right w:val="single" w:sz="4" w:space="0" w:color="auto"/>
            </w:tcBorders>
          </w:tcPr>
          <w:p w14:paraId="1AB50943" w14:textId="77777777" w:rsidR="00C55F5A" w:rsidRPr="00ED5AD0" w:rsidRDefault="00515A8F" w:rsidP="00515A8F">
            <w:pPr>
              <w:jc w:val="center"/>
              <w:rPr>
                <w:rFonts w:cs="Arial"/>
                <w:b/>
                <w:bCs/>
                <w:color w:val="000000"/>
                <w:szCs w:val="24"/>
                <w:lang w:eastAsia="en-GB"/>
              </w:rPr>
            </w:pPr>
            <w:r w:rsidRPr="00ED5AD0">
              <w:rPr>
                <w:rFonts w:cs="Arial"/>
                <w:b/>
                <w:bCs/>
                <w:color w:val="000000"/>
                <w:szCs w:val="24"/>
                <w:lang w:eastAsia="en-GB"/>
              </w:rPr>
              <w:t>Last year’s pay data</w:t>
            </w:r>
          </w:p>
        </w:tc>
      </w:tr>
      <w:tr w:rsidR="002E3F80" w:rsidRPr="00ED5AD0" w14:paraId="5DE807A7" w14:textId="77777777" w:rsidTr="0028309C">
        <w:trPr>
          <w:trHeight w:val="628"/>
        </w:trPr>
        <w:tc>
          <w:tcPr>
            <w:tcW w:w="4815" w:type="dxa"/>
            <w:tcBorders>
              <w:top w:val="nil"/>
              <w:left w:val="single" w:sz="4" w:space="0" w:color="auto"/>
              <w:bottom w:val="single" w:sz="4" w:space="0" w:color="auto"/>
              <w:right w:val="single" w:sz="4" w:space="0" w:color="auto"/>
            </w:tcBorders>
            <w:shd w:val="clear" w:color="auto" w:fill="auto"/>
            <w:hideMark/>
          </w:tcPr>
          <w:p w14:paraId="29098051" w14:textId="77777777" w:rsidR="002E3F80" w:rsidRPr="00ED5AD0" w:rsidRDefault="002E3F80" w:rsidP="002E3F80">
            <w:pPr>
              <w:rPr>
                <w:rFonts w:cs="Arial"/>
                <w:color w:val="000000" w:themeColor="text1"/>
                <w:sz w:val="20"/>
                <w:lang w:eastAsia="en-GB"/>
              </w:rPr>
            </w:pPr>
            <w:r w:rsidRPr="00ED5AD0">
              <w:rPr>
                <w:rFonts w:cs="Arial"/>
                <w:color w:val="000000" w:themeColor="text1"/>
                <w:sz w:val="20"/>
                <w:lang w:eastAsia="en-GB"/>
              </w:rPr>
              <w:t>Ratio of highest to lowest pay</w:t>
            </w:r>
          </w:p>
        </w:tc>
        <w:tc>
          <w:tcPr>
            <w:tcW w:w="2410" w:type="dxa"/>
            <w:tcBorders>
              <w:top w:val="nil"/>
              <w:left w:val="nil"/>
              <w:bottom w:val="single" w:sz="4" w:space="0" w:color="auto"/>
              <w:right w:val="single" w:sz="4" w:space="0" w:color="auto"/>
            </w:tcBorders>
            <w:shd w:val="clear" w:color="auto" w:fill="auto"/>
          </w:tcPr>
          <w:p w14:paraId="6C8C6044" w14:textId="7F70F2E3" w:rsidR="002E3F80" w:rsidRPr="00ED5AD0" w:rsidRDefault="005A12F2" w:rsidP="005A12F2">
            <w:pPr>
              <w:jc w:val="center"/>
              <w:rPr>
                <w:rFonts w:cs="Arial"/>
                <w:color w:val="000000" w:themeColor="text1"/>
                <w:sz w:val="18"/>
                <w:szCs w:val="18"/>
                <w:lang w:eastAsia="en-GB"/>
              </w:rPr>
            </w:pPr>
            <w:r w:rsidRPr="00ED5AD0">
              <w:rPr>
                <w:rFonts w:cs="Arial"/>
                <w:color w:val="000000"/>
              </w:rPr>
              <w:t xml:space="preserve">  </w:t>
            </w:r>
            <w:r w:rsidR="00F406D5" w:rsidRPr="00ED5AD0">
              <w:rPr>
                <w:rFonts w:cs="Arial"/>
                <w:color w:val="000000"/>
              </w:rPr>
              <w:t>5.</w:t>
            </w:r>
            <w:r w:rsidR="00667C57">
              <w:rPr>
                <w:rFonts w:cs="Arial"/>
                <w:color w:val="000000"/>
              </w:rPr>
              <w:t>2</w:t>
            </w:r>
            <w:r w:rsidR="00F406D5" w:rsidRPr="00ED5AD0">
              <w:rPr>
                <w:rFonts w:cs="Arial"/>
                <w:color w:val="000000"/>
              </w:rPr>
              <w:t>8:1</w:t>
            </w:r>
          </w:p>
        </w:tc>
        <w:tc>
          <w:tcPr>
            <w:tcW w:w="2835" w:type="dxa"/>
            <w:tcBorders>
              <w:top w:val="nil"/>
              <w:left w:val="nil"/>
              <w:bottom w:val="single" w:sz="4" w:space="0" w:color="auto"/>
              <w:right w:val="single" w:sz="4" w:space="0" w:color="auto"/>
            </w:tcBorders>
            <w:shd w:val="clear" w:color="auto" w:fill="auto"/>
          </w:tcPr>
          <w:p w14:paraId="6055FD6C" w14:textId="5574165B" w:rsidR="002E3F80" w:rsidRPr="00ED5AD0" w:rsidRDefault="002E3F80" w:rsidP="002E3F80">
            <w:pPr>
              <w:jc w:val="center"/>
              <w:rPr>
                <w:rFonts w:cs="Arial"/>
                <w:color w:val="000000"/>
              </w:rPr>
            </w:pPr>
            <w:r w:rsidRPr="00ED5AD0">
              <w:rPr>
                <w:rFonts w:cs="Arial"/>
                <w:color w:val="000000"/>
              </w:rPr>
              <w:t>5.44:1</w:t>
            </w:r>
          </w:p>
        </w:tc>
      </w:tr>
      <w:tr w:rsidR="002E3F80" w:rsidRPr="00ED5AD0" w14:paraId="25E8DF7B" w14:textId="77777777" w:rsidTr="0028309C">
        <w:trPr>
          <w:trHeight w:val="496"/>
        </w:trPr>
        <w:tc>
          <w:tcPr>
            <w:tcW w:w="4815" w:type="dxa"/>
            <w:tcBorders>
              <w:top w:val="nil"/>
              <w:left w:val="single" w:sz="4" w:space="0" w:color="auto"/>
              <w:bottom w:val="single" w:sz="4" w:space="0" w:color="auto"/>
              <w:right w:val="single" w:sz="4" w:space="0" w:color="auto"/>
            </w:tcBorders>
            <w:shd w:val="clear" w:color="auto" w:fill="auto"/>
          </w:tcPr>
          <w:p w14:paraId="297A6F54" w14:textId="77777777" w:rsidR="002E3F80" w:rsidRPr="00ED5AD0" w:rsidRDefault="002E3F80" w:rsidP="002E3F80">
            <w:pPr>
              <w:rPr>
                <w:rFonts w:cs="Arial"/>
                <w:color w:val="000000" w:themeColor="text1"/>
                <w:sz w:val="20"/>
                <w:lang w:eastAsia="en-GB"/>
              </w:rPr>
            </w:pPr>
            <w:r w:rsidRPr="00ED5AD0">
              <w:rPr>
                <w:rFonts w:cs="Arial"/>
                <w:color w:val="000000" w:themeColor="text1"/>
                <w:sz w:val="20"/>
                <w:lang w:eastAsia="en-GB"/>
              </w:rPr>
              <w:t>Ratio of highest to average (mean) pay</w:t>
            </w:r>
          </w:p>
        </w:tc>
        <w:tc>
          <w:tcPr>
            <w:tcW w:w="2410" w:type="dxa"/>
            <w:tcBorders>
              <w:top w:val="nil"/>
              <w:left w:val="nil"/>
              <w:bottom w:val="single" w:sz="4" w:space="0" w:color="auto"/>
              <w:right w:val="single" w:sz="4" w:space="0" w:color="auto"/>
            </w:tcBorders>
            <w:shd w:val="clear" w:color="auto" w:fill="auto"/>
          </w:tcPr>
          <w:p w14:paraId="69350E57" w14:textId="2B22FD5B" w:rsidR="005A12F2" w:rsidRPr="00ED5AD0" w:rsidRDefault="005A12F2" w:rsidP="005A12F2">
            <w:pPr>
              <w:ind w:firstLineChars="100" w:firstLine="240"/>
              <w:jc w:val="center"/>
              <w:rPr>
                <w:rFonts w:cs="Arial"/>
                <w:color w:val="000000"/>
                <w:lang w:eastAsia="en-GB"/>
              </w:rPr>
            </w:pPr>
            <w:r w:rsidRPr="00ED5AD0">
              <w:rPr>
                <w:rFonts w:cs="Arial"/>
                <w:color w:val="000000"/>
              </w:rPr>
              <w:t>3.7</w:t>
            </w:r>
            <w:r w:rsidR="00667C57">
              <w:rPr>
                <w:rFonts w:cs="Arial"/>
                <w:color w:val="000000"/>
              </w:rPr>
              <w:t>7</w:t>
            </w:r>
            <w:r w:rsidRPr="00ED5AD0">
              <w:rPr>
                <w:rFonts w:cs="Arial"/>
                <w:color w:val="000000"/>
              </w:rPr>
              <w:t>:1</w:t>
            </w:r>
          </w:p>
          <w:p w14:paraId="590DC54D" w14:textId="48737D88" w:rsidR="002E3F80" w:rsidRPr="00ED5AD0" w:rsidRDefault="002E3F80" w:rsidP="005A12F2">
            <w:pPr>
              <w:jc w:val="center"/>
              <w:rPr>
                <w:rFonts w:cs="Arial"/>
                <w:color w:val="000000" w:themeColor="text1"/>
                <w:sz w:val="18"/>
                <w:szCs w:val="18"/>
                <w:lang w:eastAsia="en-GB"/>
              </w:rPr>
            </w:pPr>
          </w:p>
        </w:tc>
        <w:tc>
          <w:tcPr>
            <w:tcW w:w="2835" w:type="dxa"/>
            <w:tcBorders>
              <w:top w:val="nil"/>
              <w:left w:val="nil"/>
              <w:bottom w:val="single" w:sz="4" w:space="0" w:color="auto"/>
              <w:right w:val="single" w:sz="4" w:space="0" w:color="auto"/>
            </w:tcBorders>
            <w:shd w:val="clear" w:color="auto" w:fill="auto"/>
          </w:tcPr>
          <w:p w14:paraId="0057085F" w14:textId="618A72E1" w:rsidR="002E3F80" w:rsidRPr="00ED5AD0" w:rsidRDefault="002E3F80" w:rsidP="002E3F80">
            <w:pPr>
              <w:jc w:val="center"/>
              <w:rPr>
                <w:rFonts w:cs="Arial"/>
                <w:color w:val="000000"/>
              </w:rPr>
            </w:pPr>
            <w:r w:rsidRPr="00ED5AD0">
              <w:rPr>
                <w:rFonts w:cs="Arial"/>
                <w:color w:val="000000"/>
              </w:rPr>
              <w:t>4.24:1</w:t>
            </w:r>
          </w:p>
        </w:tc>
      </w:tr>
      <w:tr w:rsidR="002E3F80" w:rsidRPr="00ED5AD0" w14:paraId="4419DB07" w14:textId="77777777" w:rsidTr="0028309C">
        <w:trPr>
          <w:trHeight w:val="434"/>
        </w:trPr>
        <w:tc>
          <w:tcPr>
            <w:tcW w:w="4815" w:type="dxa"/>
            <w:tcBorders>
              <w:top w:val="nil"/>
              <w:left w:val="single" w:sz="4" w:space="0" w:color="auto"/>
              <w:bottom w:val="single" w:sz="4" w:space="0" w:color="auto"/>
              <w:right w:val="single" w:sz="4" w:space="0" w:color="auto"/>
            </w:tcBorders>
            <w:shd w:val="clear" w:color="auto" w:fill="auto"/>
          </w:tcPr>
          <w:p w14:paraId="71D249A6" w14:textId="77777777" w:rsidR="002E3F80" w:rsidRPr="00ED5AD0" w:rsidRDefault="002E3F80" w:rsidP="002E3F80">
            <w:pPr>
              <w:rPr>
                <w:rFonts w:cs="Arial"/>
                <w:color w:val="000000" w:themeColor="text1"/>
                <w:sz w:val="20"/>
                <w:lang w:eastAsia="en-GB"/>
              </w:rPr>
            </w:pPr>
            <w:r w:rsidRPr="00ED5AD0">
              <w:rPr>
                <w:rFonts w:cs="Arial"/>
                <w:color w:val="000000" w:themeColor="text1"/>
                <w:sz w:val="20"/>
                <w:lang w:eastAsia="en-GB"/>
              </w:rPr>
              <w:t>Ratio of highest to median pay</w:t>
            </w:r>
          </w:p>
        </w:tc>
        <w:tc>
          <w:tcPr>
            <w:tcW w:w="2410" w:type="dxa"/>
            <w:tcBorders>
              <w:top w:val="nil"/>
              <w:left w:val="nil"/>
              <w:bottom w:val="single" w:sz="4" w:space="0" w:color="auto"/>
              <w:right w:val="single" w:sz="4" w:space="0" w:color="auto"/>
            </w:tcBorders>
            <w:shd w:val="clear" w:color="auto" w:fill="auto"/>
          </w:tcPr>
          <w:p w14:paraId="2475005A" w14:textId="785E4E84" w:rsidR="005A12F2" w:rsidRPr="00ED5AD0" w:rsidRDefault="005A12F2" w:rsidP="005A12F2">
            <w:pPr>
              <w:ind w:firstLineChars="100" w:firstLine="240"/>
              <w:jc w:val="center"/>
              <w:rPr>
                <w:rFonts w:cs="Arial"/>
                <w:color w:val="000000"/>
                <w:lang w:eastAsia="en-GB"/>
              </w:rPr>
            </w:pPr>
            <w:r w:rsidRPr="00ED5AD0">
              <w:rPr>
                <w:rFonts w:cs="Arial"/>
                <w:color w:val="000000"/>
              </w:rPr>
              <w:t>4.</w:t>
            </w:r>
            <w:r w:rsidR="00667C57">
              <w:rPr>
                <w:rFonts w:cs="Arial"/>
                <w:color w:val="000000"/>
              </w:rPr>
              <w:t>58</w:t>
            </w:r>
            <w:r w:rsidRPr="00ED5AD0">
              <w:rPr>
                <w:rFonts w:cs="Arial"/>
                <w:color w:val="000000"/>
              </w:rPr>
              <w:t>:1</w:t>
            </w:r>
          </w:p>
          <w:p w14:paraId="2B6056F9" w14:textId="11A3B52F" w:rsidR="002E3F80" w:rsidRPr="00ED5AD0" w:rsidRDefault="002E3F80" w:rsidP="005A12F2">
            <w:pPr>
              <w:jc w:val="center"/>
              <w:rPr>
                <w:rFonts w:cs="Arial"/>
                <w:color w:val="000000" w:themeColor="text1"/>
                <w:sz w:val="18"/>
                <w:szCs w:val="18"/>
                <w:lang w:eastAsia="en-GB"/>
              </w:rPr>
            </w:pPr>
          </w:p>
        </w:tc>
        <w:tc>
          <w:tcPr>
            <w:tcW w:w="2835" w:type="dxa"/>
            <w:tcBorders>
              <w:top w:val="nil"/>
              <w:left w:val="nil"/>
              <w:bottom w:val="single" w:sz="4" w:space="0" w:color="auto"/>
              <w:right w:val="single" w:sz="4" w:space="0" w:color="auto"/>
            </w:tcBorders>
            <w:shd w:val="clear" w:color="auto" w:fill="auto"/>
          </w:tcPr>
          <w:p w14:paraId="29F55710" w14:textId="17660911" w:rsidR="002E3F80" w:rsidRPr="00ED5AD0" w:rsidRDefault="002E3F80" w:rsidP="002E3F80">
            <w:pPr>
              <w:jc w:val="center"/>
              <w:rPr>
                <w:rFonts w:cs="Arial"/>
                <w:color w:val="000000"/>
              </w:rPr>
            </w:pPr>
            <w:r w:rsidRPr="00ED5AD0">
              <w:rPr>
                <w:rFonts w:cs="Arial"/>
                <w:color w:val="000000"/>
              </w:rPr>
              <w:t>4.67:1</w:t>
            </w:r>
          </w:p>
        </w:tc>
      </w:tr>
      <w:tr w:rsidR="002E3F80" w:rsidRPr="00ED5AD0" w14:paraId="54623416" w14:textId="77777777" w:rsidTr="0028309C">
        <w:trPr>
          <w:trHeight w:val="574"/>
        </w:trPr>
        <w:tc>
          <w:tcPr>
            <w:tcW w:w="4815" w:type="dxa"/>
            <w:tcBorders>
              <w:top w:val="nil"/>
              <w:left w:val="single" w:sz="4" w:space="0" w:color="auto"/>
              <w:bottom w:val="single" w:sz="4" w:space="0" w:color="auto"/>
              <w:right w:val="single" w:sz="4" w:space="0" w:color="auto"/>
            </w:tcBorders>
            <w:shd w:val="clear" w:color="auto" w:fill="auto"/>
            <w:hideMark/>
          </w:tcPr>
          <w:p w14:paraId="2EF469B2" w14:textId="77777777" w:rsidR="002E3F80" w:rsidRPr="00ED5AD0" w:rsidRDefault="002E3F80" w:rsidP="002E3F80">
            <w:pPr>
              <w:rPr>
                <w:rFonts w:cs="Arial"/>
                <w:color w:val="000000" w:themeColor="text1"/>
                <w:sz w:val="20"/>
                <w:lang w:eastAsia="en-GB"/>
              </w:rPr>
            </w:pPr>
            <w:r w:rsidRPr="00ED5AD0">
              <w:rPr>
                <w:rFonts w:cs="Arial"/>
                <w:color w:val="000000" w:themeColor="text1"/>
                <w:sz w:val="20"/>
                <w:lang w:eastAsia="en-GB"/>
              </w:rPr>
              <w:t xml:space="preserve">Average (mean) pay (equivalent </w:t>
            </w:r>
            <w:proofErr w:type="gramStart"/>
            <w:r w:rsidRPr="00ED5AD0">
              <w:rPr>
                <w:rFonts w:cs="Arial"/>
                <w:color w:val="000000" w:themeColor="text1"/>
                <w:sz w:val="20"/>
                <w:lang w:eastAsia="en-GB"/>
              </w:rPr>
              <w:t>full time</w:t>
            </w:r>
            <w:proofErr w:type="gramEnd"/>
            <w:r w:rsidRPr="00ED5AD0">
              <w:rPr>
                <w:rFonts w:cs="Arial"/>
                <w:color w:val="000000" w:themeColor="text1"/>
                <w:sz w:val="20"/>
                <w:lang w:eastAsia="en-GB"/>
              </w:rPr>
              <w:t xml:space="preserve"> salary) </w:t>
            </w:r>
          </w:p>
        </w:tc>
        <w:tc>
          <w:tcPr>
            <w:tcW w:w="2410" w:type="dxa"/>
            <w:tcBorders>
              <w:top w:val="nil"/>
              <w:left w:val="nil"/>
              <w:bottom w:val="single" w:sz="4" w:space="0" w:color="auto"/>
              <w:right w:val="single" w:sz="4" w:space="0" w:color="auto"/>
            </w:tcBorders>
            <w:shd w:val="clear" w:color="auto" w:fill="auto"/>
          </w:tcPr>
          <w:p w14:paraId="02729329" w14:textId="77777777" w:rsidR="005A12F2" w:rsidRPr="00ED5AD0" w:rsidRDefault="005A12F2" w:rsidP="005A12F2">
            <w:pPr>
              <w:jc w:val="center"/>
              <w:rPr>
                <w:rFonts w:cs="Arial"/>
                <w:color w:val="000000"/>
                <w:lang w:eastAsia="en-GB"/>
              </w:rPr>
            </w:pPr>
            <w:r w:rsidRPr="00ED5AD0">
              <w:rPr>
                <w:rFonts w:cs="Arial"/>
                <w:color w:val="000000"/>
              </w:rPr>
              <w:t>£34,589</w:t>
            </w:r>
          </w:p>
          <w:p w14:paraId="71879672" w14:textId="506A7955" w:rsidR="002E3F80" w:rsidRPr="00ED5AD0" w:rsidRDefault="002E3F80" w:rsidP="005A12F2">
            <w:pPr>
              <w:jc w:val="center"/>
              <w:rPr>
                <w:rFonts w:cs="Arial"/>
                <w:color w:val="000000" w:themeColor="text1"/>
                <w:sz w:val="18"/>
                <w:szCs w:val="18"/>
                <w:lang w:eastAsia="en-GB"/>
              </w:rPr>
            </w:pPr>
          </w:p>
        </w:tc>
        <w:tc>
          <w:tcPr>
            <w:tcW w:w="2835" w:type="dxa"/>
            <w:tcBorders>
              <w:top w:val="nil"/>
              <w:left w:val="nil"/>
              <w:bottom w:val="single" w:sz="4" w:space="0" w:color="auto"/>
              <w:right w:val="single" w:sz="4" w:space="0" w:color="auto"/>
            </w:tcBorders>
            <w:shd w:val="clear" w:color="auto" w:fill="auto"/>
          </w:tcPr>
          <w:p w14:paraId="11ED36F6" w14:textId="40769729" w:rsidR="002E3F80" w:rsidRPr="00ED5AD0" w:rsidRDefault="002E3F80" w:rsidP="002E3F80">
            <w:pPr>
              <w:jc w:val="center"/>
              <w:rPr>
                <w:rFonts w:cs="Arial"/>
                <w:color w:val="000000"/>
              </w:rPr>
            </w:pPr>
            <w:r w:rsidRPr="00ED5AD0">
              <w:rPr>
                <w:rFonts w:cs="Arial"/>
                <w:color w:val="000000"/>
              </w:rPr>
              <w:t>£30,154</w:t>
            </w:r>
          </w:p>
        </w:tc>
      </w:tr>
      <w:tr w:rsidR="002E3F80" w:rsidRPr="00ED5AD0" w14:paraId="5C5058DF" w14:textId="77777777" w:rsidTr="0028309C">
        <w:trPr>
          <w:trHeight w:val="572"/>
        </w:trPr>
        <w:tc>
          <w:tcPr>
            <w:tcW w:w="4815" w:type="dxa"/>
            <w:tcBorders>
              <w:top w:val="nil"/>
              <w:left w:val="single" w:sz="4" w:space="0" w:color="auto"/>
              <w:bottom w:val="single" w:sz="4" w:space="0" w:color="auto"/>
              <w:right w:val="single" w:sz="4" w:space="0" w:color="auto"/>
            </w:tcBorders>
            <w:shd w:val="clear" w:color="auto" w:fill="auto"/>
            <w:hideMark/>
          </w:tcPr>
          <w:p w14:paraId="56751D16" w14:textId="77777777" w:rsidR="002E3F80" w:rsidRPr="00ED5AD0" w:rsidRDefault="002E3F80" w:rsidP="002E3F80">
            <w:pPr>
              <w:rPr>
                <w:rFonts w:cs="Arial"/>
                <w:color w:val="000000" w:themeColor="text1"/>
                <w:sz w:val="20"/>
                <w:lang w:eastAsia="en-GB"/>
              </w:rPr>
            </w:pPr>
            <w:r w:rsidRPr="00ED5AD0">
              <w:rPr>
                <w:rFonts w:cs="Arial"/>
                <w:color w:val="000000" w:themeColor="text1"/>
                <w:sz w:val="20"/>
                <w:lang w:eastAsia="en-GB"/>
              </w:rPr>
              <w:t xml:space="preserve">Median pay (equivalent </w:t>
            </w:r>
            <w:proofErr w:type="gramStart"/>
            <w:r w:rsidRPr="00ED5AD0">
              <w:rPr>
                <w:rFonts w:cs="Arial"/>
                <w:color w:val="000000" w:themeColor="text1"/>
                <w:sz w:val="20"/>
                <w:lang w:eastAsia="en-GB"/>
              </w:rPr>
              <w:t>full time</w:t>
            </w:r>
            <w:proofErr w:type="gramEnd"/>
            <w:r w:rsidRPr="00ED5AD0">
              <w:rPr>
                <w:rFonts w:cs="Arial"/>
                <w:color w:val="000000" w:themeColor="text1"/>
                <w:sz w:val="20"/>
                <w:lang w:eastAsia="en-GB"/>
              </w:rPr>
              <w:t xml:space="preserve"> salary) </w:t>
            </w:r>
          </w:p>
        </w:tc>
        <w:tc>
          <w:tcPr>
            <w:tcW w:w="2410" w:type="dxa"/>
            <w:tcBorders>
              <w:top w:val="nil"/>
              <w:left w:val="nil"/>
              <w:bottom w:val="single" w:sz="4" w:space="0" w:color="auto"/>
              <w:right w:val="single" w:sz="4" w:space="0" w:color="auto"/>
            </w:tcBorders>
            <w:shd w:val="clear" w:color="auto" w:fill="auto"/>
          </w:tcPr>
          <w:p w14:paraId="1D1D8044" w14:textId="77777777" w:rsidR="005A12F2" w:rsidRPr="00ED5AD0" w:rsidRDefault="005A12F2" w:rsidP="005A12F2">
            <w:pPr>
              <w:jc w:val="center"/>
              <w:rPr>
                <w:rFonts w:cs="Arial"/>
                <w:color w:val="000000"/>
                <w:lang w:eastAsia="en-GB"/>
              </w:rPr>
            </w:pPr>
            <w:r w:rsidRPr="00ED5AD0">
              <w:rPr>
                <w:rFonts w:cs="Arial"/>
                <w:color w:val="000000"/>
              </w:rPr>
              <w:t>£28,624</w:t>
            </w:r>
          </w:p>
          <w:p w14:paraId="65E9C0D0" w14:textId="1FBD80A1" w:rsidR="002E3F80" w:rsidRPr="00ED5AD0" w:rsidRDefault="002E3F80" w:rsidP="005A12F2">
            <w:pPr>
              <w:jc w:val="center"/>
              <w:rPr>
                <w:rFonts w:cs="Arial"/>
                <w:color w:val="000000" w:themeColor="text1"/>
                <w:sz w:val="18"/>
                <w:szCs w:val="18"/>
                <w:lang w:eastAsia="en-GB"/>
              </w:rPr>
            </w:pPr>
          </w:p>
        </w:tc>
        <w:tc>
          <w:tcPr>
            <w:tcW w:w="2835" w:type="dxa"/>
            <w:tcBorders>
              <w:top w:val="nil"/>
              <w:left w:val="nil"/>
              <w:bottom w:val="single" w:sz="4" w:space="0" w:color="auto"/>
              <w:right w:val="single" w:sz="4" w:space="0" w:color="auto"/>
            </w:tcBorders>
            <w:shd w:val="clear" w:color="auto" w:fill="auto"/>
          </w:tcPr>
          <w:p w14:paraId="5396D403" w14:textId="2091CC66" w:rsidR="002E3F80" w:rsidRPr="00ED5AD0" w:rsidRDefault="002E3F80" w:rsidP="002E3F80">
            <w:pPr>
              <w:jc w:val="center"/>
              <w:rPr>
                <w:rFonts w:cs="Arial"/>
                <w:color w:val="000000"/>
              </w:rPr>
            </w:pPr>
            <w:r w:rsidRPr="00ED5AD0">
              <w:rPr>
                <w:rFonts w:cs="Arial"/>
                <w:color w:val="000000"/>
              </w:rPr>
              <w:t>£27,334</w:t>
            </w:r>
          </w:p>
        </w:tc>
      </w:tr>
      <w:tr w:rsidR="002E3F80" w:rsidRPr="00ED5AD0" w14:paraId="5EFDDCC7" w14:textId="77777777" w:rsidTr="0028309C">
        <w:trPr>
          <w:trHeight w:val="584"/>
        </w:trPr>
        <w:tc>
          <w:tcPr>
            <w:tcW w:w="4815" w:type="dxa"/>
            <w:tcBorders>
              <w:top w:val="nil"/>
              <w:left w:val="single" w:sz="4" w:space="0" w:color="auto"/>
              <w:bottom w:val="single" w:sz="4" w:space="0" w:color="auto"/>
              <w:right w:val="single" w:sz="4" w:space="0" w:color="auto"/>
            </w:tcBorders>
            <w:shd w:val="clear" w:color="auto" w:fill="auto"/>
            <w:hideMark/>
          </w:tcPr>
          <w:p w14:paraId="116E3E6D" w14:textId="77777777" w:rsidR="002E3F80" w:rsidRPr="00ED5AD0" w:rsidRDefault="002E3F80" w:rsidP="002E3F80">
            <w:pPr>
              <w:rPr>
                <w:rFonts w:cs="Arial"/>
                <w:color w:val="000000" w:themeColor="text1"/>
                <w:sz w:val="20"/>
                <w:lang w:eastAsia="en-GB"/>
              </w:rPr>
            </w:pPr>
            <w:r w:rsidRPr="00ED5AD0">
              <w:rPr>
                <w:rFonts w:cs="Arial"/>
                <w:color w:val="000000" w:themeColor="text1"/>
                <w:sz w:val="20"/>
                <w:lang w:eastAsia="en-GB"/>
              </w:rPr>
              <w:t xml:space="preserve">Highest paid worker </w:t>
            </w:r>
          </w:p>
          <w:p w14:paraId="4D5DA627" w14:textId="33FA6011" w:rsidR="002E3F80" w:rsidRPr="00ED5AD0" w:rsidRDefault="002E3F80" w:rsidP="002E3F80">
            <w:pPr>
              <w:rPr>
                <w:rFonts w:cs="Arial"/>
                <w:color w:val="000000" w:themeColor="text1"/>
                <w:sz w:val="20"/>
                <w:lang w:eastAsia="en-GB"/>
              </w:rPr>
            </w:pPr>
          </w:p>
        </w:tc>
        <w:tc>
          <w:tcPr>
            <w:tcW w:w="2410" w:type="dxa"/>
            <w:tcBorders>
              <w:top w:val="nil"/>
              <w:left w:val="nil"/>
              <w:bottom w:val="single" w:sz="4" w:space="0" w:color="auto"/>
              <w:right w:val="single" w:sz="4" w:space="0" w:color="auto"/>
            </w:tcBorders>
            <w:shd w:val="clear" w:color="auto" w:fill="auto"/>
          </w:tcPr>
          <w:p w14:paraId="518BBD19" w14:textId="27F64EB9" w:rsidR="005A12F2" w:rsidRPr="00ED5AD0" w:rsidRDefault="005A12F2" w:rsidP="005A12F2">
            <w:pPr>
              <w:jc w:val="center"/>
              <w:rPr>
                <w:rFonts w:cs="Arial"/>
                <w:color w:val="000000"/>
                <w:lang w:eastAsia="en-GB"/>
              </w:rPr>
            </w:pPr>
            <w:r w:rsidRPr="00ED5AD0">
              <w:rPr>
                <w:rFonts w:cs="Arial"/>
                <w:color w:val="000000"/>
              </w:rPr>
              <w:t>£1</w:t>
            </w:r>
            <w:r w:rsidR="00667C57">
              <w:rPr>
                <w:rFonts w:cs="Arial"/>
                <w:color w:val="000000"/>
              </w:rPr>
              <w:t>30,965</w:t>
            </w:r>
          </w:p>
          <w:p w14:paraId="1CBBF5BF" w14:textId="3FDE5B0D" w:rsidR="002E3F80" w:rsidRPr="00ED5AD0" w:rsidRDefault="002E3F80" w:rsidP="005A12F2">
            <w:pPr>
              <w:jc w:val="center"/>
              <w:rPr>
                <w:rFonts w:cs="Arial"/>
                <w:color w:val="000000" w:themeColor="text1"/>
                <w:sz w:val="18"/>
                <w:szCs w:val="18"/>
                <w:lang w:eastAsia="en-GB"/>
              </w:rPr>
            </w:pPr>
          </w:p>
        </w:tc>
        <w:tc>
          <w:tcPr>
            <w:tcW w:w="2835" w:type="dxa"/>
            <w:tcBorders>
              <w:top w:val="nil"/>
              <w:left w:val="nil"/>
              <w:bottom w:val="single" w:sz="4" w:space="0" w:color="auto"/>
              <w:right w:val="single" w:sz="4" w:space="0" w:color="auto"/>
            </w:tcBorders>
            <w:shd w:val="clear" w:color="auto" w:fill="auto"/>
          </w:tcPr>
          <w:p w14:paraId="145B29FE" w14:textId="77777777" w:rsidR="002E3F80" w:rsidRPr="00ED5AD0" w:rsidRDefault="002E3F80" w:rsidP="002E3F80">
            <w:pPr>
              <w:jc w:val="center"/>
              <w:rPr>
                <w:rFonts w:cs="Arial"/>
                <w:color w:val="000000"/>
              </w:rPr>
            </w:pPr>
            <w:r w:rsidRPr="00ED5AD0">
              <w:rPr>
                <w:rFonts w:cs="Arial"/>
                <w:color w:val="000000"/>
              </w:rPr>
              <w:t>127,771 (top scale point)</w:t>
            </w:r>
          </w:p>
          <w:p w14:paraId="1BA9DFDD" w14:textId="627F004E" w:rsidR="002E3F80" w:rsidRPr="00ED5AD0" w:rsidRDefault="002E3F80" w:rsidP="002E3F80">
            <w:pPr>
              <w:jc w:val="center"/>
              <w:rPr>
                <w:rFonts w:cs="Arial"/>
                <w:color w:val="000000"/>
              </w:rPr>
            </w:pPr>
          </w:p>
        </w:tc>
      </w:tr>
      <w:tr w:rsidR="002E3F80" w:rsidRPr="00ED5AD0" w14:paraId="55437B74" w14:textId="77777777" w:rsidTr="0028309C">
        <w:trPr>
          <w:trHeight w:val="1046"/>
        </w:trPr>
        <w:tc>
          <w:tcPr>
            <w:tcW w:w="4815" w:type="dxa"/>
            <w:tcBorders>
              <w:top w:val="nil"/>
              <w:left w:val="single" w:sz="4" w:space="0" w:color="auto"/>
              <w:bottom w:val="single" w:sz="4" w:space="0" w:color="auto"/>
              <w:right w:val="single" w:sz="4" w:space="0" w:color="auto"/>
            </w:tcBorders>
            <w:shd w:val="clear" w:color="auto" w:fill="auto"/>
            <w:hideMark/>
          </w:tcPr>
          <w:p w14:paraId="37570816" w14:textId="77777777" w:rsidR="002E3F80" w:rsidRPr="00ED5AD0" w:rsidRDefault="002E3F80" w:rsidP="002E3F80">
            <w:pPr>
              <w:rPr>
                <w:rFonts w:cs="Arial"/>
                <w:color w:val="000000" w:themeColor="text1"/>
                <w:sz w:val="18"/>
                <w:szCs w:val="18"/>
                <w:lang w:eastAsia="en-GB"/>
              </w:rPr>
            </w:pPr>
            <w:r w:rsidRPr="00ED5AD0">
              <w:rPr>
                <w:rFonts w:cs="Arial"/>
                <w:color w:val="000000" w:themeColor="text1"/>
                <w:sz w:val="20"/>
                <w:lang w:eastAsia="en-GB"/>
              </w:rPr>
              <w:t xml:space="preserve">Lowest paid worker </w:t>
            </w:r>
            <w:r w:rsidRPr="00ED5AD0">
              <w:rPr>
                <w:rFonts w:cs="Arial"/>
                <w:color w:val="000000" w:themeColor="text1"/>
                <w:sz w:val="18"/>
                <w:szCs w:val="18"/>
                <w:lang w:eastAsia="en-GB"/>
              </w:rPr>
              <w:t>(FTE salary- not training or transferred post)</w:t>
            </w:r>
            <w:r w:rsidRPr="00ED5AD0">
              <w:rPr>
                <w:rFonts w:cs="Arial"/>
                <w:color w:val="000000" w:themeColor="text1"/>
                <w:sz w:val="20"/>
                <w:lang w:eastAsia="en-GB"/>
              </w:rPr>
              <w:t xml:space="preserve">. Lowest pay point now set at SCP 5 in Band 3.  </w:t>
            </w:r>
            <w:r w:rsidRPr="00ED5AD0">
              <w:rPr>
                <w:rFonts w:cs="Arial"/>
                <w:color w:val="000000" w:themeColor="text1"/>
                <w:sz w:val="18"/>
                <w:szCs w:val="18"/>
                <w:lang w:eastAsia="en-GB"/>
              </w:rPr>
              <w:t xml:space="preserve"> </w:t>
            </w:r>
          </w:p>
          <w:p w14:paraId="4C0BA0AC" w14:textId="2176C8B7" w:rsidR="002E3F80" w:rsidRPr="00ED5AD0" w:rsidRDefault="002E3F80" w:rsidP="002E3F80">
            <w:pPr>
              <w:rPr>
                <w:rFonts w:cs="Arial"/>
                <w:color w:val="000000" w:themeColor="text1"/>
                <w:sz w:val="20"/>
                <w:lang w:eastAsia="en-GB"/>
              </w:rPr>
            </w:pPr>
          </w:p>
        </w:tc>
        <w:tc>
          <w:tcPr>
            <w:tcW w:w="2410" w:type="dxa"/>
            <w:tcBorders>
              <w:top w:val="nil"/>
              <w:left w:val="nil"/>
              <w:bottom w:val="single" w:sz="4" w:space="0" w:color="auto"/>
              <w:right w:val="single" w:sz="4" w:space="0" w:color="auto"/>
            </w:tcBorders>
            <w:shd w:val="clear" w:color="auto" w:fill="auto"/>
          </w:tcPr>
          <w:p w14:paraId="7D47EC8F" w14:textId="77777777" w:rsidR="005A12F2" w:rsidRPr="00ED5AD0" w:rsidRDefault="005A12F2" w:rsidP="005A12F2">
            <w:pPr>
              <w:jc w:val="center"/>
              <w:rPr>
                <w:rFonts w:cs="Arial"/>
                <w:color w:val="000000"/>
                <w:lang w:eastAsia="en-GB"/>
              </w:rPr>
            </w:pPr>
            <w:r w:rsidRPr="00ED5AD0">
              <w:rPr>
                <w:rFonts w:cs="Arial"/>
                <w:color w:val="000000"/>
              </w:rPr>
              <w:t>£24,790</w:t>
            </w:r>
          </w:p>
          <w:p w14:paraId="751FD347" w14:textId="16FC82F7" w:rsidR="002E3F80" w:rsidRPr="00ED5AD0" w:rsidRDefault="002E3F80" w:rsidP="005A12F2">
            <w:pPr>
              <w:jc w:val="center"/>
              <w:rPr>
                <w:rFonts w:cs="Arial"/>
                <w:color w:val="000000" w:themeColor="text1"/>
                <w:sz w:val="18"/>
                <w:szCs w:val="18"/>
                <w:lang w:eastAsia="en-GB"/>
              </w:rPr>
            </w:pPr>
          </w:p>
        </w:tc>
        <w:tc>
          <w:tcPr>
            <w:tcW w:w="2835" w:type="dxa"/>
            <w:tcBorders>
              <w:top w:val="nil"/>
              <w:left w:val="nil"/>
              <w:bottom w:val="single" w:sz="4" w:space="0" w:color="auto"/>
              <w:right w:val="single" w:sz="4" w:space="0" w:color="auto"/>
            </w:tcBorders>
            <w:shd w:val="clear" w:color="auto" w:fill="auto"/>
          </w:tcPr>
          <w:p w14:paraId="0866ACF3" w14:textId="77777777" w:rsidR="002E3F80" w:rsidRPr="00ED5AD0" w:rsidRDefault="002E3F80" w:rsidP="002E3F80">
            <w:pPr>
              <w:jc w:val="center"/>
              <w:rPr>
                <w:rFonts w:cs="Arial"/>
                <w:color w:val="000000"/>
              </w:rPr>
            </w:pPr>
            <w:r w:rsidRPr="00ED5AD0">
              <w:rPr>
                <w:rFonts w:cs="Arial"/>
                <w:color w:val="000000"/>
              </w:rPr>
              <w:t>£23,500</w:t>
            </w:r>
          </w:p>
          <w:p w14:paraId="60F9411A" w14:textId="3D3B999C" w:rsidR="002E3F80" w:rsidRPr="00ED5AD0" w:rsidRDefault="002E3F80" w:rsidP="002E3F80">
            <w:pPr>
              <w:jc w:val="center"/>
              <w:rPr>
                <w:rFonts w:cs="Arial"/>
                <w:color w:val="000000"/>
              </w:rPr>
            </w:pPr>
          </w:p>
        </w:tc>
      </w:tr>
      <w:bookmarkEnd w:id="1"/>
      <w:bookmarkEnd w:id="2"/>
    </w:tbl>
    <w:p w14:paraId="18E3F865" w14:textId="77777777" w:rsidR="00494891" w:rsidRPr="00ED5AD0" w:rsidRDefault="00494891" w:rsidP="005A43E0">
      <w:pPr>
        <w:pStyle w:val="ListParagraph"/>
        <w:shd w:val="clear" w:color="auto" w:fill="FFFFFF"/>
        <w:spacing w:after="0" w:line="240" w:lineRule="auto"/>
        <w:ind w:left="0" w:hanging="426"/>
        <w:jc w:val="both"/>
        <w:rPr>
          <w:rFonts w:cs="Arial"/>
          <w:b/>
          <w:bCs/>
          <w:szCs w:val="24"/>
        </w:rPr>
      </w:pPr>
      <w:r w:rsidRPr="00ED5AD0">
        <w:rPr>
          <w:rFonts w:cs="Arial"/>
          <w:szCs w:val="24"/>
        </w:rPr>
        <w:br w:type="page"/>
      </w:r>
    </w:p>
    <w:p w14:paraId="7CBCF9B4" w14:textId="77777777" w:rsidR="00875842" w:rsidRPr="00ED5AD0" w:rsidRDefault="00875842" w:rsidP="00CD5CA0">
      <w:pPr>
        <w:jc w:val="right"/>
        <w:rPr>
          <w:rFonts w:cs="Arial"/>
          <w:b/>
          <w:bCs/>
          <w:szCs w:val="24"/>
        </w:rPr>
      </w:pPr>
    </w:p>
    <w:p w14:paraId="78C46560" w14:textId="77777777" w:rsidR="00875842" w:rsidRPr="00ED5AD0" w:rsidRDefault="00875842" w:rsidP="00875842">
      <w:pPr>
        <w:jc w:val="both"/>
        <w:rPr>
          <w:rFonts w:cs="Arial"/>
          <w:b/>
          <w:szCs w:val="24"/>
        </w:rPr>
      </w:pPr>
      <w:r w:rsidRPr="00ED5AD0">
        <w:rPr>
          <w:rFonts w:cs="Arial"/>
          <w:b/>
          <w:szCs w:val="24"/>
        </w:rPr>
        <w:t>4. Proposal</w:t>
      </w:r>
    </w:p>
    <w:p w14:paraId="2171FECD" w14:textId="77777777" w:rsidR="00780E79" w:rsidRPr="00ED5AD0" w:rsidRDefault="00780E79" w:rsidP="00780E79">
      <w:pPr>
        <w:ind w:left="284"/>
        <w:jc w:val="both"/>
        <w:rPr>
          <w:rFonts w:cs="Arial"/>
          <w:szCs w:val="24"/>
        </w:rPr>
      </w:pPr>
    </w:p>
    <w:p w14:paraId="2D48B9BE" w14:textId="2478C863" w:rsidR="00296A34" w:rsidRPr="00ED5AD0" w:rsidRDefault="00296A34" w:rsidP="00780E79">
      <w:pPr>
        <w:ind w:left="284"/>
        <w:jc w:val="both"/>
        <w:rPr>
          <w:rFonts w:cs="Arial"/>
          <w:color w:val="000000"/>
          <w:szCs w:val="24"/>
        </w:rPr>
      </w:pPr>
      <w:r w:rsidRPr="00ED5AD0">
        <w:rPr>
          <w:rFonts w:cs="Arial"/>
          <w:szCs w:val="24"/>
        </w:rPr>
        <w:t>The Pay Policy Statement is a factual statement of information relating to the council. It is therefore proposed to ask the committee to firstly a</w:t>
      </w:r>
      <w:r w:rsidRPr="00ED5AD0">
        <w:rPr>
          <w:rFonts w:cs="Arial"/>
          <w:color w:val="000000"/>
          <w:szCs w:val="24"/>
        </w:rPr>
        <w:t>pprove the proposed Pay Policy Statement for 202</w:t>
      </w:r>
      <w:r w:rsidR="00570250" w:rsidRPr="00ED5AD0">
        <w:rPr>
          <w:rFonts w:cs="Arial"/>
          <w:color w:val="000000"/>
          <w:szCs w:val="24"/>
        </w:rPr>
        <w:t>5</w:t>
      </w:r>
      <w:r w:rsidRPr="00ED5AD0">
        <w:rPr>
          <w:rFonts w:cs="Arial"/>
          <w:color w:val="000000"/>
          <w:szCs w:val="24"/>
        </w:rPr>
        <w:t>/2</w:t>
      </w:r>
      <w:r w:rsidR="00570250" w:rsidRPr="00ED5AD0">
        <w:rPr>
          <w:rFonts w:cs="Arial"/>
          <w:color w:val="000000"/>
          <w:szCs w:val="24"/>
        </w:rPr>
        <w:t>6</w:t>
      </w:r>
      <w:r w:rsidRPr="00ED5AD0">
        <w:rPr>
          <w:rFonts w:cs="Arial"/>
          <w:color w:val="000000"/>
          <w:szCs w:val="24"/>
        </w:rPr>
        <w:t xml:space="preserve"> including its method of implementation and secondly to recommend the referral of the Pay Policy Statement to Council for adoption and for subsequent publication on the Council’s website.</w:t>
      </w:r>
    </w:p>
    <w:p w14:paraId="5A0A7B7F" w14:textId="77777777" w:rsidR="0050238F" w:rsidRPr="00ED5AD0" w:rsidRDefault="0050238F" w:rsidP="00780E79">
      <w:pPr>
        <w:ind w:left="284"/>
        <w:jc w:val="both"/>
        <w:rPr>
          <w:rFonts w:cs="Arial"/>
          <w:color w:val="000000"/>
          <w:szCs w:val="24"/>
        </w:rPr>
      </w:pPr>
    </w:p>
    <w:p w14:paraId="097DD977" w14:textId="77777777" w:rsidR="00875842" w:rsidRPr="00ED5AD0" w:rsidRDefault="00875842" w:rsidP="00875842">
      <w:pPr>
        <w:jc w:val="both"/>
        <w:rPr>
          <w:b/>
          <w:bCs/>
          <w:color w:val="000000"/>
        </w:rPr>
      </w:pPr>
      <w:r w:rsidRPr="00ED5AD0">
        <w:rPr>
          <w:b/>
          <w:bCs/>
          <w:color w:val="000000"/>
        </w:rPr>
        <w:t>5. Alternative Options</w:t>
      </w:r>
    </w:p>
    <w:p w14:paraId="3C0C553D" w14:textId="77777777" w:rsidR="00780E79" w:rsidRPr="00ED5AD0" w:rsidRDefault="00780E79" w:rsidP="00875842">
      <w:pPr>
        <w:jc w:val="both"/>
        <w:rPr>
          <w:bCs/>
          <w:color w:val="000000"/>
        </w:rPr>
      </w:pPr>
    </w:p>
    <w:p w14:paraId="402EE90A" w14:textId="77777777" w:rsidR="00780E79" w:rsidRPr="00ED5AD0" w:rsidRDefault="00780E79" w:rsidP="00780E79">
      <w:pPr>
        <w:ind w:left="284"/>
        <w:jc w:val="both"/>
        <w:rPr>
          <w:bCs/>
          <w:color w:val="000000"/>
        </w:rPr>
      </w:pPr>
      <w:r w:rsidRPr="00ED5AD0">
        <w:rPr>
          <w:bCs/>
          <w:color w:val="000000"/>
        </w:rPr>
        <w:t xml:space="preserve">The publication of a Pay Policy Statement is required in law and the method by which it is published is specified. The alternative would be to not publish a statement although this would contravene legislation.  </w:t>
      </w:r>
    </w:p>
    <w:p w14:paraId="62AF0357" w14:textId="77777777" w:rsidR="00495BF0" w:rsidRPr="00ED5AD0" w:rsidRDefault="00495BF0" w:rsidP="00780E79">
      <w:pPr>
        <w:ind w:left="284"/>
        <w:jc w:val="both"/>
        <w:rPr>
          <w:bCs/>
          <w:color w:val="000000"/>
        </w:rPr>
      </w:pPr>
    </w:p>
    <w:p w14:paraId="3C4191C5" w14:textId="77777777" w:rsidR="00875842" w:rsidRPr="00ED5AD0" w:rsidRDefault="00875842" w:rsidP="00875842">
      <w:pPr>
        <w:jc w:val="both"/>
        <w:rPr>
          <w:b/>
          <w:bCs/>
          <w:color w:val="000000"/>
        </w:rPr>
      </w:pPr>
    </w:p>
    <w:p w14:paraId="3A82194B" w14:textId="77777777" w:rsidR="00875842" w:rsidRPr="00ED5AD0" w:rsidRDefault="00875842" w:rsidP="00D32888">
      <w:pPr>
        <w:pStyle w:val="ListParagraph"/>
        <w:numPr>
          <w:ilvl w:val="0"/>
          <w:numId w:val="40"/>
        </w:numPr>
        <w:ind w:left="284" w:hanging="284"/>
        <w:contextualSpacing/>
        <w:rPr>
          <w:b/>
          <w:bCs/>
          <w:color w:val="000000"/>
        </w:rPr>
      </w:pPr>
      <w:r w:rsidRPr="00ED5AD0">
        <w:rPr>
          <w:b/>
          <w:bCs/>
          <w:color w:val="000000"/>
        </w:rPr>
        <w:t xml:space="preserve">Legal Implications </w:t>
      </w:r>
    </w:p>
    <w:p w14:paraId="2C112D36" w14:textId="77777777" w:rsidR="00875842" w:rsidRPr="00ED5AD0" w:rsidRDefault="00875842" w:rsidP="00875842">
      <w:pPr>
        <w:pStyle w:val="ListParagraph"/>
        <w:spacing w:after="0" w:line="240" w:lineRule="auto"/>
        <w:ind w:left="1008"/>
        <w:jc w:val="both"/>
        <w:rPr>
          <w:rFonts w:eastAsia="Times New Roman"/>
          <w:bCs/>
          <w:szCs w:val="20"/>
        </w:rPr>
      </w:pPr>
    </w:p>
    <w:p w14:paraId="2A0037BA" w14:textId="77777777" w:rsidR="00DF41CD" w:rsidRPr="00ED5AD0" w:rsidRDefault="00DF41CD" w:rsidP="00780E79">
      <w:pPr>
        <w:ind w:left="284"/>
        <w:jc w:val="both"/>
        <w:rPr>
          <w:rFonts w:cs="Arial"/>
          <w:color w:val="000000"/>
          <w:szCs w:val="24"/>
          <w:lang w:val="en" w:eastAsia="en-GB"/>
        </w:rPr>
      </w:pPr>
      <w:r w:rsidRPr="00ED5AD0">
        <w:rPr>
          <w:rFonts w:cs="Arial"/>
          <w:szCs w:val="24"/>
        </w:rPr>
        <w:t xml:space="preserve">The proposed Pay Policy Statement has been drafted to meet the requirements of the Localism Act 2011, the Local Government Transparency Code 2014, </w:t>
      </w:r>
      <w:r w:rsidRPr="00ED5AD0">
        <w:rPr>
          <w:rFonts w:cs="Arial"/>
          <w:color w:val="000000"/>
          <w:szCs w:val="24"/>
          <w:lang w:val="en" w:eastAsia="en-GB"/>
        </w:rPr>
        <w:t>the requirements of the Accounts and Audit (England) Regulations 2011, the Equality Act 2010 (Gender Pay Gap Information) Regulations 2017, the Trade Union (Facility Time Publication Requirements) Regulations 2017</w:t>
      </w:r>
      <w:r w:rsidR="006E3733" w:rsidRPr="00ED5AD0">
        <w:rPr>
          <w:rFonts w:cs="Arial"/>
          <w:color w:val="000000"/>
          <w:szCs w:val="24"/>
          <w:lang w:val="en" w:eastAsia="en-GB"/>
        </w:rPr>
        <w:t xml:space="preserve"> statutory </w:t>
      </w:r>
      <w:r w:rsidRPr="00ED5AD0">
        <w:rPr>
          <w:rFonts w:cs="Arial"/>
          <w:color w:val="000000"/>
          <w:szCs w:val="24"/>
          <w:lang w:val="en" w:eastAsia="en-GB"/>
        </w:rPr>
        <w:t>and other best practice guidance offered by the Local Government Association and the Association of Local Authority Chief Executives.</w:t>
      </w:r>
    </w:p>
    <w:p w14:paraId="65669C81" w14:textId="77777777" w:rsidR="00DF41CD" w:rsidRPr="00ED5AD0" w:rsidRDefault="00DF41CD" w:rsidP="00780E79">
      <w:pPr>
        <w:ind w:left="284"/>
        <w:jc w:val="both"/>
        <w:rPr>
          <w:rFonts w:cs="Arial"/>
          <w:color w:val="000000"/>
          <w:szCs w:val="24"/>
          <w:lang w:val="en" w:eastAsia="en-GB"/>
        </w:rPr>
      </w:pPr>
    </w:p>
    <w:p w14:paraId="2C8EFB13" w14:textId="77777777" w:rsidR="00DF41CD" w:rsidRPr="00ED5AD0" w:rsidRDefault="00DF41CD" w:rsidP="00780E79">
      <w:pPr>
        <w:ind w:left="284"/>
        <w:jc w:val="both"/>
        <w:rPr>
          <w:rFonts w:cs="Arial"/>
          <w:color w:val="000000"/>
          <w:szCs w:val="24"/>
          <w:lang w:val="en" w:eastAsia="en-GB"/>
        </w:rPr>
      </w:pPr>
      <w:r w:rsidRPr="00ED5AD0">
        <w:rPr>
          <w:rFonts w:cs="Arial"/>
          <w:color w:val="000000"/>
          <w:szCs w:val="24"/>
          <w:lang w:val="en" w:eastAsia="en-GB"/>
        </w:rPr>
        <w:t xml:space="preserve">The Localism Act </w:t>
      </w:r>
      <w:proofErr w:type="gramStart"/>
      <w:r w:rsidRPr="00ED5AD0">
        <w:rPr>
          <w:rFonts w:cs="Arial"/>
          <w:color w:val="000000"/>
          <w:szCs w:val="24"/>
          <w:lang w:val="en" w:eastAsia="en-GB"/>
        </w:rPr>
        <w:t>in itself does</w:t>
      </w:r>
      <w:proofErr w:type="gramEnd"/>
      <w:r w:rsidRPr="00ED5AD0">
        <w:rPr>
          <w:rFonts w:cs="Arial"/>
          <w:color w:val="000000"/>
          <w:szCs w:val="24"/>
          <w:lang w:val="en" w:eastAsia="en-GB"/>
        </w:rPr>
        <w:t xml:space="preserve"> not necessarily require the Authority to publish actual salary band amounts, however, other regulations and best practice do lead us to this position, particularly for Chief Officers.  In the spirit of openness and transparency the proposed Pay Policy Statement encapsulates the principles derived from these myriad sources. </w:t>
      </w:r>
    </w:p>
    <w:p w14:paraId="0442C533" w14:textId="77777777" w:rsidR="00DF41CD" w:rsidRPr="00ED5AD0" w:rsidRDefault="00DF41CD" w:rsidP="00780E79">
      <w:pPr>
        <w:ind w:left="284"/>
        <w:jc w:val="both"/>
        <w:rPr>
          <w:rFonts w:cs="Arial"/>
          <w:color w:val="000000"/>
          <w:szCs w:val="24"/>
          <w:lang w:val="en" w:eastAsia="en-GB"/>
        </w:rPr>
      </w:pPr>
    </w:p>
    <w:p w14:paraId="1093D8F9" w14:textId="77777777" w:rsidR="00DF41CD" w:rsidRPr="00ED5AD0" w:rsidRDefault="00DF41CD" w:rsidP="00780E79">
      <w:pPr>
        <w:ind w:left="284"/>
        <w:jc w:val="both"/>
        <w:rPr>
          <w:rFonts w:cs="Arial"/>
          <w:color w:val="000000"/>
          <w:szCs w:val="24"/>
          <w:lang w:val="en" w:eastAsia="en-GB"/>
        </w:rPr>
      </w:pPr>
      <w:r w:rsidRPr="00ED5AD0">
        <w:rPr>
          <w:rFonts w:cs="Arial"/>
          <w:color w:val="000000"/>
          <w:szCs w:val="24"/>
          <w:lang w:val="en" w:eastAsia="en-GB"/>
        </w:rPr>
        <w:t xml:space="preserve">In order to meet the deadlines required by the Localism Act and the Transparency Code, the data used in this annual statement is current </w:t>
      </w:r>
      <w:proofErr w:type="gramStart"/>
      <w:r w:rsidRPr="00ED5AD0">
        <w:rPr>
          <w:rFonts w:cs="Arial"/>
          <w:color w:val="000000"/>
          <w:szCs w:val="24"/>
          <w:lang w:val="en" w:eastAsia="en-GB"/>
        </w:rPr>
        <w:t>at</w:t>
      </w:r>
      <w:proofErr w:type="gramEnd"/>
      <w:r w:rsidRPr="00ED5AD0">
        <w:rPr>
          <w:rFonts w:cs="Arial"/>
          <w:color w:val="000000"/>
          <w:szCs w:val="24"/>
          <w:lang w:val="en" w:eastAsia="en-GB"/>
        </w:rPr>
        <w:t xml:space="preserve"> 30 November in each year. </w:t>
      </w:r>
    </w:p>
    <w:p w14:paraId="12F778B7" w14:textId="77777777" w:rsidR="00DF41CD" w:rsidRPr="00ED5AD0" w:rsidRDefault="00DF41CD" w:rsidP="00780E79">
      <w:pPr>
        <w:ind w:left="284"/>
        <w:jc w:val="both"/>
        <w:rPr>
          <w:rFonts w:cs="Arial"/>
          <w:color w:val="000000"/>
          <w:szCs w:val="24"/>
          <w:lang w:val="en" w:eastAsia="en-GB"/>
        </w:rPr>
      </w:pPr>
    </w:p>
    <w:p w14:paraId="3ADEB70F" w14:textId="77777777" w:rsidR="00DF41CD" w:rsidRPr="00ED5AD0" w:rsidRDefault="00DF41CD" w:rsidP="00780E79">
      <w:pPr>
        <w:ind w:left="284"/>
        <w:jc w:val="both"/>
        <w:rPr>
          <w:rFonts w:cs="Arial"/>
          <w:color w:val="000000"/>
          <w:szCs w:val="24"/>
          <w:lang w:val="en" w:eastAsia="en-GB"/>
        </w:rPr>
      </w:pPr>
      <w:r w:rsidRPr="00ED5AD0">
        <w:rPr>
          <w:rFonts w:cs="Arial"/>
          <w:color w:val="000000"/>
          <w:szCs w:val="24"/>
          <w:lang w:val="en" w:eastAsia="en-GB"/>
        </w:rPr>
        <w:t>Subject to the views of this committee and the adoption at Council, the Pay Policy Statement will be published on the Council’s website immediately after resolution, and annually thereafter and included in the Council’s Publications Scheme.  It will be published as a Microsoft Word document which is a “machine-readable” format as required by the Local Government Transparency Code 2014.</w:t>
      </w:r>
    </w:p>
    <w:p w14:paraId="0D21853B" w14:textId="77777777" w:rsidR="00495BF0" w:rsidRPr="00ED5AD0" w:rsidRDefault="00495BF0" w:rsidP="00780E79">
      <w:pPr>
        <w:ind w:left="284"/>
        <w:jc w:val="both"/>
        <w:rPr>
          <w:rFonts w:cs="Arial"/>
          <w:color w:val="000000"/>
          <w:szCs w:val="24"/>
          <w:lang w:val="en" w:eastAsia="en-GB"/>
        </w:rPr>
      </w:pPr>
    </w:p>
    <w:p w14:paraId="5A00E68C" w14:textId="50327A35" w:rsidR="00495BF0" w:rsidRPr="00ED5AD0" w:rsidRDefault="00495BF0" w:rsidP="006E3733">
      <w:pPr>
        <w:ind w:left="284"/>
        <w:jc w:val="both"/>
        <w:rPr>
          <w:rFonts w:cs="Arial"/>
          <w:color w:val="000000"/>
          <w:szCs w:val="24"/>
          <w:lang w:val="en" w:eastAsia="en-GB"/>
        </w:rPr>
      </w:pPr>
      <w:r w:rsidRPr="00ED5AD0">
        <w:rPr>
          <w:rFonts w:cs="Arial"/>
          <w:color w:val="000000"/>
          <w:szCs w:val="24"/>
          <w:lang w:val="en" w:eastAsia="en-GB"/>
        </w:rPr>
        <w:t xml:space="preserve">Although not yet a legal requirement to adopt the </w:t>
      </w:r>
      <w:r w:rsidR="006E3733" w:rsidRPr="00ED5AD0">
        <w:rPr>
          <w:rFonts w:cs="Arial"/>
          <w:color w:val="000000"/>
          <w:szCs w:val="24"/>
          <w:lang w:val="en" w:eastAsia="en-GB"/>
        </w:rPr>
        <w:t>statutory</w:t>
      </w:r>
      <w:r w:rsidRPr="00ED5AD0">
        <w:rPr>
          <w:rFonts w:cs="Arial"/>
          <w:color w:val="000000"/>
          <w:szCs w:val="24"/>
          <w:lang w:val="en" w:eastAsia="en-GB"/>
        </w:rPr>
        <w:t xml:space="preserve"> guidance on severance payments, the Council will be assessed against that voluntary standard when making dec</w:t>
      </w:r>
      <w:r w:rsidR="00525C0B" w:rsidRPr="00ED5AD0">
        <w:rPr>
          <w:rFonts w:cs="Arial"/>
          <w:color w:val="000000"/>
          <w:szCs w:val="24"/>
          <w:lang w:val="en" w:eastAsia="en-GB"/>
        </w:rPr>
        <w:t>i</w:t>
      </w:r>
      <w:r w:rsidRPr="00ED5AD0">
        <w:rPr>
          <w:rFonts w:cs="Arial"/>
          <w:color w:val="000000"/>
          <w:szCs w:val="24"/>
          <w:lang w:val="en" w:eastAsia="en-GB"/>
        </w:rPr>
        <w:t>sions about payments made to officers, workers or contractors when they cease to provide service for or to the Council</w:t>
      </w:r>
      <w:r w:rsidR="00525C0B" w:rsidRPr="00ED5AD0">
        <w:rPr>
          <w:rFonts w:cs="Arial"/>
          <w:color w:val="000000"/>
          <w:szCs w:val="24"/>
          <w:lang w:val="en" w:eastAsia="en-GB"/>
        </w:rPr>
        <w:t>.</w:t>
      </w:r>
      <w:r w:rsidR="006E3733" w:rsidRPr="00ED5AD0">
        <w:rPr>
          <w:rFonts w:cs="Arial"/>
          <w:color w:val="000000"/>
          <w:szCs w:val="24"/>
          <w:lang w:val="en" w:eastAsia="en-GB"/>
        </w:rPr>
        <w:t xml:space="preserve"> It is expected that local authorities would comply with the statutory guidance even if no local policy is adopted.</w:t>
      </w:r>
      <w:r w:rsidR="00525C0B" w:rsidRPr="00ED5AD0">
        <w:rPr>
          <w:rFonts w:cs="Arial"/>
          <w:color w:val="000000"/>
          <w:szCs w:val="24"/>
          <w:lang w:val="en" w:eastAsia="en-GB"/>
        </w:rPr>
        <w:t xml:space="preserve"> For that </w:t>
      </w:r>
      <w:proofErr w:type="gramStart"/>
      <w:r w:rsidR="00525C0B" w:rsidRPr="00ED5AD0">
        <w:rPr>
          <w:rFonts w:cs="Arial"/>
          <w:color w:val="000000"/>
          <w:szCs w:val="24"/>
          <w:lang w:val="en" w:eastAsia="en-GB"/>
        </w:rPr>
        <w:t>reason</w:t>
      </w:r>
      <w:proofErr w:type="gramEnd"/>
      <w:r w:rsidR="00525C0B" w:rsidRPr="00ED5AD0">
        <w:rPr>
          <w:rFonts w:cs="Arial"/>
          <w:color w:val="000000"/>
          <w:szCs w:val="24"/>
          <w:lang w:val="en" w:eastAsia="en-GB"/>
        </w:rPr>
        <w:t xml:space="preserve"> the adoption of properly considered local policy help</w:t>
      </w:r>
      <w:r w:rsidR="00F94B9C" w:rsidRPr="00ED5AD0">
        <w:rPr>
          <w:rFonts w:cs="Arial"/>
          <w:color w:val="000000"/>
          <w:szCs w:val="24"/>
          <w:lang w:val="en" w:eastAsia="en-GB"/>
        </w:rPr>
        <w:t>s</w:t>
      </w:r>
      <w:r w:rsidR="00525C0B" w:rsidRPr="00ED5AD0">
        <w:rPr>
          <w:rFonts w:cs="Arial"/>
          <w:color w:val="000000"/>
          <w:szCs w:val="24"/>
          <w:lang w:val="en" w:eastAsia="en-GB"/>
        </w:rPr>
        <w:t xml:space="preserve"> to defend any future challenge to </w:t>
      </w:r>
      <w:r w:rsidR="006E3733" w:rsidRPr="00ED5AD0">
        <w:rPr>
          <w:rFonts w:cs="Arial"/>
          <w:color w:val="000000"/>
          <w:szCs w:val="24"/>
          <w:lang w:val="en" w:eastAsia="en-GB"/>
        </w:rPr>
        <w:t xml:space="preserve">special </w:t>
      </w:r>
      <w:r w:rsidR="00525C0B" w:rsidRPr="00ED5AD0">
        <w:rPr>
          <w:rFonts w:cs="Arial"/>
          <w:color w:val="000000"/>
          <w:szCs w:val="24"/>
          <w:lang w:val="en" w:eastAsia="en-GB"/>
        </w:rPr>
        <w:t>severance payments made if there is concern about the appropriateness of those payments.</w:t>
      </w:r>
    </w:p>
    <w:p w14:paraId="6F9978F3" w14:textId="77777777" w:rsidR="006E3733" w:rsidRPr="00ED5AD0" w:rsidRDefault="006E3733" w:rsidP="006E3733">
      <w:pPr>
        <w:ind w:left="284"/>
        <w:jc w:val="both"/>
        <w:rPr>
          <w:rFonts w:cs="Arial"/>
          <w:color w:val="000000"/>
          <w:szCs w:val="24"/>
          <w:lang w:val="en" w:eastAsia="en-GB"/>
        </w:rPr>
      </w:pPr>
    </w:p>
    <w:p w14:paraId="6DC1F849" w14:textId="77777777" w:rsidR="006E3733" w:rsidRPr="00ED5AD0" w:rsidRDefault="006E3733" w:rsidP="00205742">
      <w:pPr>
        <w:ind w:left="284"/>
        <w:rPr>
          <w:rFonts w:eastAsiaTheme="minorHAnsi" w:cs="Arial"/>
          <w:color w:val="000000" w:themeColor="text1"/>
          <w:szCs w:val="24"/>
        </w:rPr>
      </w:pPr>
      <w:r w:rsidRPr="00ED5AD0">
        <w:rPr>
          <w:rFonts w:cs="Arial"/>
          <w:color w:val="000000"/>
          <w:szCs w:val="24"/>
          <w:lang w:val="en" w:eastAsia="en-GB"/>
        </w:rPr>
        <w:t xml:space="preserve">The guidance on Special </w:t>
      </w:r>
      <w:r w:rsidR="00205742" w:rsidRPr="00ED5AD0">
        <w:rPr>
          <w:rFonts w:cs="Arial"/>
          <w:color w:val="000000"/>
          <w:szCs w:val="24"/>
          <w:lang w:val="en" w:eastAsia="en-GB"/>
        </w:rPr>
        <w:t>S</w:t>
      </w:r>
      <w:r w:rsidRPr="00ED5AD0">
        <w:rPr>
          <w:rFonts w:cs="Arial"/>
          <w:color w:val="000000"/>
          <w:szCs w:val="24"/>
          <w:lang w:val="en" w:eastAsia="en-GB"/>
        </w:rPr>
        <w:t>everance Payments</w:t>
      </w:r>
      <w:r w:rsidRPr="00ED5AD0">
        <w:rPr>
          <w:rFonts w:eastAsiaTheme="minorHAnsi" w:cs="Arial"/>
          <w:color w:val="000000" w:themeColor="text1"/>
          <w:szCs w:val="24"/>
        </w:rPr>
        <w:t xml:space="preserve"> forms part of the best value regime for local authorities in England. The best value duty, as set out in section 3 of the Local Government Act 1999 (“the 1999 Act”), provides that “A best value authority must make arrangements to secure continuous improvement in the way in which its functions are exercised, having regard to a combination of economy, efficiency and effectiveness.</w:t>
      </w:r>
      <w:r w:rsidR="00205742" w:rsidRPr="00ED5AD0">
        <w:rPr>
          <w:rFonts w:eastAsiaTheme="minorHAnsi" w:cs="Arial"/>
          <w:color w:val="000000" w:themeColor="text1"/>
          <w:szCs w:val="24"/>
        </w:rPr>
        <w:t>”</w:t>
      </w:r>
      <w:r w:rsidRPr="00ED5AD0">
        <w:rPr>
          <w:rFonts w:eastAsiaTheme="minorHAnsi" w:cs="Arial"/>
          <w:color w:val="000000" w:themeColor="text1"/>
          <w:szCs w:val="24"/>
        </w:rPr>
        <w:t xml:space="preserve"> </w:t>
      </w:r>
    </w:p>
    <w:p w14:paraId="455F0C05" w14:textId="77777777" w:rsidR="006E3733" w:rsidRPr="00ED5AD0" w:rsidRDefault="006E3733" w:rsidP="006E3733">
      <w:pPr>
        <w:ind w:left="284"/>
        <w:jc w:val="both"/>
        <w:rPr>
          <w:rFonts w:cs="Arial"/>
          <w:color w:val="000000"/>
          <w:szCs w:val="24"/>
          <w:lang w:val="en" w:eastAsia="en-GB"/>
        </w:rPr>
      </w:pPr>
      <w:r w:rsidRPr="00ED5AD0">
        <w:rPr>
          <w:rFonts w:cs="Arial"/>
          <w:color w:val="000000"/>
          <w:szCs w:val="24"/>
          <w:lang w:val="en" w:eastAsia="en-GB"/>
        </w:rPr>
        <w:t xml:space="preserve">  </w:t>
      </w:r>
    </w:p>
    <w:p w14:paraId="6A5CED43" w14:textId="77777777" w:rsidR="00875842" w:rsidRPr="00ED5AD0" w:rsidRDefault="00875842" w:rsidP="00875842">
      <w:pPr>
        <w:pStyle w:val="ListParagraph"/>
        <w:spacing w:after="0" w:line="240" w:lineRule="auto"/>
        <w:ind w:left="284"/>
        <w:jc w:val="both"/>
        <w:rPr>
          <w:rFonts w:eastAsia="Times New Roman"/>
          <w:bCs/>
          <w:szCs w:val="20"/>
        </w:rPr>
      </w:pPr>
    </w:p>
    <w:p w14:paraId="0A070E31" w14:textId="77777777" w:rsidR="00875842" w:rsidRPr="00ED5AD0" w:rsidRDefault="00875842">
      <w:pPr>
        <w:rPr>
          <w:bCs/>
        </w:rPr>
      </w:pPr>
    </w:p>
    <w:p w14:paraId="4BB82207" w14:textId="77777777" w:rsidR="00875842" w:rsidRPr="00ED5AD0" w:rsidRDefault="00875842" w:rsidP="00D32888">
      <w:pPr>
        <w:pStyle w:val="ListParagraph"/>
        <w:numPr>
          <w:ilvl w:val="0"/>
          <w:numId w:val="40"/>
        </w:numPr>
        <w:spacing w:after="0" w:line="240" w:lineRule="auto"/>
        <w:ind w:left="426"/>
        <w:jc w:val="both"/>
        <w:rPr>
          <w:rFonts w:eastAsia="Times New Roman"/>
          <w:b/>
          <w:bCs/>
          <w:szCs w:val="20"/>
        </w:rPr>
      </w:pPr>
      <w:r w:rsidRPr="00ED5AD0">
        <w:rPr>
          <w:rFonts w:eastAsia="Times New Roman"/>
          <w:b/>
          <w:bCs/>
          <w:szCs w:val="20"/>
        </w:rPr>
        <w:t>Financial Implications</w:t>
      </w:r>
    </w:p>
    <w:p w14:paraId="71FE312B" w14:textId="77777777" w:rsidR="00780E79" w:rsidRPr="00ED5AD0" w:rsidRDefault="00780E79" w:rsidP="00780E79">
      <w:pPr>
        <w:ind w:left="66"/>
        <w:jc w:val="both"/>
        <w:rPr>
          <w:b/>
          <w:bCs/>
        </w:rPr>
      </w:pPr>
    </w:p>
    <w:p w14:paraId="3FB13B87" w14:textId="77777777" w:rsidR="00525C0B" w:rsidRPr="00ED5AD0" w:rsidRDefault="00780E79" w:rsidP="00780E79">
      <w:pPr>
        <w:ind w:left="426"/>
        <w:jc w:val="both"/>
        <w:rPr>
          <w:bCs/>
        </w:rPr>
      </w:pPr>
      <w:r w:rsidRPr="00ED5AD0">
        <w:rPr>
          <w:bCs/>
        </w:rPr>
        <w:t>The Pay Policy Statement only reports information about the council. It does not in itself commit the organisation to any spend and as such there is no financial impact.</w:t>
      </w:r>
    </w:p>
    <w:p w14:paraId="0D457C18" w14:textId="77777777" w:rsidR="00525C0B" w:rsidRPr="00ED5AD0" w:rsidRDefault="00525C0B" w:rsidP="00780E79">
      <w:pPr>
        <w:ind w:left="426"/>
        <w:jc w:val="both"/>
        <w:rPr>
          <w:bCs/>
        </w:rPr>
      </w:pPr>
    </w:p>
    <w:p w14:paraId="3DB65439" w14:textId="77777777" w:rsidR="006E3733" w:rsidRPr="00ED5AD0" w:rsidRDefault="00525C0B" w:rsidP="006E3733">
      <w:pPr>
        <w:ind w:left="426"/>
        <w:jc w:val="both"/>
        <w:rPr>
          <w:bCs/>
        </w:rPr>
      </w:pPr>
      <w:r w:rsidRPr="00ED5AD0">
        <w:rPr>
          <w:bCs/>
        </w:rPr>
        <w:t>The introduction of local Severance Payment Policy will ensure that financial decisions taken by the Council will be properly considered, accounted for and reported. This will be an additional control measu</w:t>
      </w:r>
      <w:r w:rsidR="006E3733" w:rsidRPr="00ED5AD0">
        <w:rPr>
          <w:bCs/>
        </w:rPr>
        <w:t>re to secure financial probity.</w:t>
      </w:r>
    </w:p>
    <w:p w14:paraId="16C9EEB1" w14:textId="77777777" w:rsidR="00780E79" w:rsidRPr="00ED5AD0" w:rsidRDefault="00780E79" w:rsidP="006E3733">
      <w:pPr>
        <w:jc w:val="both"/>
        <w:rPr>
          <w:bCs/>
        </w:rPr>
      </w:pPr>
      <w:r w:rsidRPr="00ED5AD0">
        <w:rPr>
          <w:bCs/>
        </w:rPr>
        <w:t xml:space="preserve">  </w:t>
      </w:r>
    </w:p>
    <w:p w14:paraId="5BD6C9ED" w14:textId="77777777" w:rsidR="00875842" w:rsidRPr="00ED5AD0" w:rsidRDefault="00875842" w:rsidP="00875842">
      <w:pPr>
        <w:pStyle w:val="ListParagraph"/>
        <w:spacing w:after="0" w:line="240" w:lineRule="auto"/>
        <w:jc w:val="both"/>
        <w:rPr>
          <w:rFonts w:eastAsia="Times New Roman"/>
          <w:b/>
          <w:bCs/>
          <w:szCs w:val="20"/>
        </w:rPr>
      </w:pPr>
      <w:r w:rsidRPr="00ED5AD0">
        <w:rPr>
          <w:rFonts w:eastAsia="Times New Roman"/>
          <w:b/>
          <w:bCs/>
          <w:szCs w:val="20"/>
        </w:rPr>
        <w:t xml:space="preserve"> </w:t>
      </w:r>
    </w:p>
    <w:p w14:paraId="5A0D69D4" w14:textId="77777777" w:rsidR="00875842" w:rsidRPr="00ED5AD0" w:rsidRDefault="00875842" w:rsidP="00D32888">
      <w:pPr>
        <w:pStyle w:val="ListParagraph"/>
        <w:numPr>
          <w:ilvl w:val="0"/>
          <w:numId w:val="40"/>
        </w:numPr>
        <w:spacing w:after="0" w:line="240" w:lineRule="auto"/>
        <w:ind w:left="426"/>
        <w:jc w:val="both"/>
        <w:rPr>
          <w:rFonts w:eastAsia="Times New Roman"/>
          <w:b/>
          <w:bCs/>
          <w:szCs w:val="20"/>
        </w:rPr>
      </w:pPr>
      <w:r w:rsidRPr="00ED5AD0">
        <w:rPr>
          <w:rFonts w:eastAsia="Times New Roman"/>
          <w:b/>
          <w:bCs/>
          <w:szCs w:val="20"/>
        </w:rPr>
        <w:t xml:space="preserve">Equalities Implications </w:t>
      </w:r>
    </w:p>
    <w:p w14:paraId="4FA1D6F6" w14:textId="77777777" w:rsidR="00875842" w:rsidRPr="00ED5AD0" w:rsidRDefault="00875842" w:rsidP="00780E79">
      <w:pPr>
        <w:pStyle w:val="ListParagraph"/>
        <w:spacing w:after="0"/>
        <w:ind w:left="426"/>
        <w:rPr>
          <w:rFonts w:eastAsia="Times New Roman"/>
          <w:bCs/>
          <w:szCs w:val="20"/>
        </w:rPr>
      </w:pPr>
    </w:p>
    <w:p w14:paraId="0EC07941" w14:textId="46E2C1E8" w:rsidR="00525C0B" w:rsidRPr="00ED5AD0" w:rsidRDefault="00780E79" w:rsidP="00F94B9C">
      <w:pPr>
        <w:pStyle w:val="ListParagraph"/>
        <w:spacing w:after="0" w:line="240" w:lineRule="auto"/>
        <w:ind w:left="425"/>
        <w:rPr>
          <w:rFonts w:eastAsia="Times New Roman"/>
          <w:bCs/>
          <w:szCs w:val="20"/>
        </w:rPr>
      </w:pPr>
      <w:r w:rsidRPr="00ED5AD0">
        <w:rPr>
          <w:rFonts w:eastAsia="Times New Roman"/>
          <w:bCs/>
          <w:szCs w:val="20"/>
        </w:rPr>
        <w:t xml:space="preserve">Although </w:t>
      </w:r>
      <w:proofErr w:type="gramStart"/>
      <w:r w:rsidRPr="00ED5AD0">
        <w:rPr>
          <w:rFonts w:eastAsia="Times New Roman"/>
          <w:bCs/>
          <w:szCs w:val="20"/>
        </w:rPr>
        <w:t>in itself the</w:t>
      </w:r>
      <w:proofErr w:type="gramEnd"/>
      <w:r w:rsidRPr="00ED5AD0">
        <w:rPr>
          <w:rFonts w:eastAsia="Times New Roman"/>
          <w:bCs/>
          <w:szCs w:val="20"/>
        </w:rPr>
        <w:t xml:space="preserve"> Pay Policy Statement does not have any equalities impact</w:t>
      </w:r>
      <w:r w:rsidR="00F9414C" w:rsidRPr="00ED5AD0">
        <w:rPr>
          <w:rFonts w:eastAsia="Times New Roman"/>
          <w:bCs/>
          <w:szCs w:val="20"/>
        </w:rPr>
        <w:t>,</w:t>
      </w:r>
      <w:r w:rsidRPr="00ED5AD0">
        <w:rPr>
          <w:rFonts w:eastAsia="Times New Roman"/>
          <w:bCs/>
          <w:szCs w:val="20"/>
        </w:rPr>
        <w:t xml:space="preserve"> there are a number of items that are reported that do have a bearing on equality reporting within the council, for example the annual reporting of the council’s </w:t>
      </w:r>
      <w:r w:rsidR="00F7622B" w:rsidRPr="00ED5AD0">
        <w:rPr>
          <w:rFonts w:eastAsia="Times New Roman"/>
          <w:bCs/>
          <w:szCs w:val="20"/>
        </w:rPr>
        <w:t>G</w:t>
      </w:r>
      <w:r w:rsidRPr="00ED5AD0">
        <w:rPr>
          <w:rFonts w:eastAsia="Times New Roman"/>
          <w:bCs/>
          <w:szCs w:val="20"/>
        </w:rPr>
        <w:t xml:space="preserve">ender </w:t>
      </w:r>
      <w:r w:rsidR="00F7622B" w:rsidRPr="00ED5AD0">
        <w:rPr>
          <w:rFonts w:eastAsia="Times New Roman"/>
          <w:bCs/>
          <w:szCs w:val="20"/>
        </w:rPr>
        <w:t>P</w:t>
      </w:r>
      <w:r w:rsidRPr="00ED5AD0">
        <w:rPr>
          <w:rFonts w:eastAsia="Times New Roman"/>
          <w:bCs/>
          <w:szCs w:val="20"/>
        </w:rPr>
        <w:t xml:space="preserve">ay </w:t>
      </w:r>
      <w:r w:rsidR="00F7622B" w:rsidRPr="00ED5AD0">
        <w:rPr>
          <w:rFonts w:eastAsia="Times New Roman"/>
          <w:bCs/>
          <w:szCs w:val="20"/>
        </w:rPr>
        <w:t>G</w:t>
      </w:r>
      <w:r w:rsidRPr="00ED5AD0">
        <w:rPr>
          <w:rFonts w:eastAsia="Times New Roman"/>
          <w:bCs/>
          <w:szCs w:val="20"/>
        </w:rPr>
        <w:t>ap.</w:t>
      </w:r>
      <w:r w:rsidR="00F7622B" w:rsidRPr="00ED5AD0">
        <w:rPr>
          <w:rFonts w:eastAsia="Times New Roman"/>
          <w:bCs/>
          <w:szCs w:val="20"/>
        </w:rPr>
        <w:t xml:space="preserve"> </w:t>
      </w:r>
    </w:p>
    <w:p w14:paraId="08F87CF2" w14:textId="77777777" w:rsidR="00525C0B" w:rsidRPr="00ED5AD0" w:rsidRDefault="00525C0B" w:rsidP="00F94B9C">
      <w:pPr>
        <w:pStyle w:val="ListParagraph"/>
        <w:spacing w:after="0" w:line="240" w:lineRule="auto"/>
        <w:ind w:left="425"/>
        <w:rPr>
          <w:rFonts w:eastAsia="Times New Roman"/>
          <w:bCs/>
          <w:szCs w:val="20"/>
        </w:rPr>
      </w:pPr>
    </w:p>
    <w:p w14:paraId="3FDE0A95" w14:textId="4B20BEC6" w:rsidR="00780E79" w:rsidRPr="00ED5AD0" w:rsidRDefault="00F9414C" w:rsidP="00F94B9C">
      <w:pPr>
        <w:pStyle w:val="ListParagraph"/>
        <w:spacing w:after="0" w:line="240" w:lineRule="auto"/>
        <w:ind w:left="425"/>
        <w:rPr>
          <w:rFonts w:eastAsia="Times New Roman"/>
          <w:bCs/>
          <w:szCs w:val="20"/>
        </w:rPr>
      </w:pPr>
      <w:r w:rsidRPr="00ED5AD0">
        <w:rPr>
          <w:rFonts w:eastAsia="Times New Roman"/>
          <w:bCs/>
          <w:szCs w:val="20"/>
        </w:rPr>
        <w:t xml:space="preserve">Work continues against our equalities </w:t>
      </w:r>
      <w:r w:rsidR="00525C0B" w:rsidRPr="00ED5AD0">
        <w:rPr>
          <w:rFonts w:eastAsia="Times New Roman"/>
          <w:bCs/>
          <w:szCs w:val="20"/>
        </w:rPr>
        <w:t>action plan implemented</w:t>
      </w:r>
      <w:r w:rsidRPr="00ED5AD0">
        <w:rPr>
          <w:rFonts w:eastAsia="Times New Roman"/>
          <w:bCs/>
          <w:szCs w:val="20"/>
        </w:rPr>
        <w:t xml:space="preserve"> last year</w:t>
      </w:r>
      <w:r w:rsidR="00525C0B" w:rsidRPr="00ED5AD0">
        <w:rPr>
          <w:rFonts w:eastAsia="Times New Roman"/>
          <w:bCs/>
          <w:szCs w:val="20"/>
        </w:rPr>
        <w:t xml:space="preserve"> to improve the equality, diversity and inclusion of the Council both as an employer and as a service provider. Actions will</w:t>
      </w:r>
      <w:r w:rsidR="00F7622B" w:rsidRPr="00ED5AD0">
        <w:rPr>
          <w:rFonts w:eastAsia="Times New Roman"/>
          <w:bCs/>
          <w:szCs w:val="20"/>
        </w:rPr>
        <w:t xml:space="preserve"> be embedded into service planning over the coming years.</w:t>
      </w:r>
      <w:r w:rsidR="0062593F" w:rsidRPr="00ED5AD0">
        <w:rPr>
          <w:rFonts w:eastAsia="Times New Roman"/>
          <w:bCs/>
          <w:szCs w:val="20"/>
        </w:rPr>
        <w:t xml:space="preserve"> </w:t>
      </w:r>
    </w:p>
    <w:p w14:paraId="4448D896" w14:textId="77777777" w:rsidR="0062593F" w:rsidRPr="00ED5AD0" w:rsidRDefault="0062593F" w:rsidP="00780E79">
      <w:pPr>
        <w:pStyle w:val="ListParagraph"/>
        <w:spacing w:after="0"/>
        <w:ind w:left="426"/>
        <w:rPr>
          <w:rFonts w:eastAsia="Times New Roman"/>
          <w:bCs/>
          <w:szCs w:val="20"/>
        </w:rPr>
      </w:pPr>
    </w:p>
    <w:p w14:paraId="39A9BFE5" w14:textId="77777777" w:rsidR="0062593F" w:rsidRPr="00ED5AD0" w:rsidRDefault="0062593F" w:rsidP="00F94B9C">
      <w:pPr>
        <w:pStyle w:val="ListParagraph"/>
        <w:spacing w:after="0" w:line="240" w:lineRule="auto"/>
        <w:ind w:left="425"/>
        <w:rPr>
          <w:rFonts w:eastAsia="Times New Roman"/>
          <w:bCs/>
          <w:szCs w:val="20"/>
        </w:rPr>
      </w:pPr>
      <w:r w:rsidRPr="00ED5AD0">
        <w:rPr>
          <w:rFonts w:eastAsia="Times New Roman"/>
          <w:bCs/>
          <w:szCs w:val="20"/>
        </w:rPr>
        <w:t>The principles of equality and equal pay are embedded in the Pay Strategy that forms part of the Pay Policy Statement.</w:t>
      </w:r>
    </w:p>
    <w:p w14:paraId="40338005" w14:textId="77777777" w:rsidR="00525C0B" w:rsidRPr="00ED5AD0" w:rsidRDefault="00525C0B" w:rsidP="00F94B9C">
      <w:pPr>
        <w:pStyle w:val="ListParagraph"/>
        <w:spacing w:after="0" w:line="240" w:lineRule="auto"/>
        <w:ind w:left="425"/>
        <w:rPr>
          <w:rFonts w:eastAsia="Times New Roman"/>
          <w:bCs/>
          <w:szCs w:val="20"/>
        </w:rPr>
      </w:pPr>
    </w:p>
    <w:p w14:paraId="12C312C4" w14:textId="2C1CBFDC" w:rsidR="00525C0B" w:rsidRPr="00ED5AD0" w:rsidRDefault="00F94B9C" w:rsidP="00F94B9C">
      <w:pPr>
        <w:pStyle w:val="ListParagraph"/>
        <w:spacing w:after="0" w:line="240" w:lineRule="auto"/>
        <w:ind w:left="425"/>
        <w:rPr>
          <w:rFonts w:eastAsia="Times New Roman"/>
          <w:bCs/>
          <w:szCs w:val="20"/>
        </w:rPr>
      </w:pPr>
      <w:r w:rsidRPr="00ED5AD0">
        <w:rPr>
          <w:rFonts w:eastAsia="Times New Roman"/>
          <w:bCs/>
          <w:szCs w:val="20"/>
        </w:rPr>
        <w:t xml:space="preserve">The </w:t>
      </w:r>
      <w:r w:rsidR="00205742" w:rsidRPr="00ED5AD0">
        <w:rPr>
          <w:rFonts w:eastAsia="Times New Roman"/>
          <w:bCs/>
          <w:szCs w:val="20"/>
        </w:rPr>
        <w:t xml:space="preserve">Special </w:t>
      </w:r>
      <w:r w:rsidR="00525C0B" w:rsidRPr="00ED5AD0">
        <w:rPr>
          <w:rFonts w:eastAsia="Times New Roman"/>
          <w:bCs/>
          <w:szCs w:val="20"/>
        </w:rPr>
        <w:t>Severance Payment Policy also ensure</w:t>
      </w:r>
      <w:r w:rsidRPr="00ED5AD0">
        <w:rPr>
          <w:rFonts w:eastAsia="Times New Roman"/>
          <w:bCs/>
          <w:szCs w:val="20"/>
        </w:rPr>
        <w:t>s</w:t>
      </w:r>
      <w:r w:rsidR="00525C0B" w:rsidRPr="00ED5AD0">
        <w:rPr>
          <w:rFonts w:eastAsia="Times New Roman"/>
          <w:bCs/>
          <w:szCs w:val="20"/>
        </w:rPr>
        <w:t xml:space="preserve"> that financial decisions about payments to people leaving the organisation will be based on a transparent framework with clear definition about how payments are to be authorised and reported. </w:t>
      </w:r>
    </w:p>
    <w:p w14:paraId="60B39F99" w14:textId="77777777" w:rsidR="00780E79" w:rsidRPr="00ED5AD0" w:rsidRDefault="00780E79">
      <w:pPr>
        <w:rPr>
          <w:bCs/>
        </w:rPr>
      </w:pPr>
      <w:r w:rsidRPr="00ED5AD0">
        <w:rPr>
          <w:bCs/>
        </w:rPr>
        <w:br w:type="page"/>
      </w:r>
    </w:p>
    <w:p w14:paraId="65FEABD6" w14:textId="77777777" w:rsidR="00780E79" w:rsidRPr="00ED5AD0" w:rsidRDefault="00780E79" w:rsidP="00780E79">
      <w:pPr>
        <w:pStyle w:val="ListParagraph"/>
        <w:spacing w:after="0"/>
        <w:rPr>
          <w:rFonts w:eastAsia="Times New Roman"/>
          <w:bCs/>
          <w:szCs w:val="20"/>
        </w:rPr>
      </w:pPr>
    </w:p>
    <w:p w14:paraId="76132939" w14:textId="77777777" w:rsidR="00780E79" w:rsidRPr="00ED5AD0" w:rsidRDefault="00780E79" w:rsidP="00780E79">
      <w:pPr>
        <w:pStyle w:val="ListParagraph"/>
        <w:spacing w:after="0"/>
        <w:rPr>
          <w:rFonts w:eastAsia="Times New Roman"/>
          <w:bCs/>
          <w:szCs w:val="20"/>
        </w:rPr>
      </w:pPr>
    </w:p>
    <w:p w14:paraId="582172E8" w14:textId="77777777" w:rsidR="00780E79" w:rsidRPr="00ED5AD0" w:rsidRDefault="00780E79" w:rsidP="00780E79">
      <w:pPr>
        <w:pStyle w:val="ListParagraph"/>
        <w:spacing w:after="0"/>
        <w:rPr>
          <w:rFonts w:eastAsia="Times New Roman"/>
          <w:bCs/>
          <w:szCs w:val="20"/>
        </w:rPr>
      </w:pPr>
    </w:p>
    <w:p w14:paraId="16420A39" w14:textId="77777777" w:rsidR="00875842" w:rsidRPr="00ED5AD0" w:rsidRDefault="003255BB" w:rsidP="00D32888">
      <w:pPr>
        <w:pStyle w:val="ListParagraph"/>
        <w:numPr>
          <w:ilvl w:val="0"/>
          <w:numId w:val="40"/>
        </w:numPr>
        <w:spacing w:after="0" w:line="240" w:lineRule="auto"/>
        <w:jc w:val="both"/>
        <w:rPr>
          <w:rFonts w:eastAsia="Times New Roman"/>
          <w:bCs/>
          <w:szCs w:val="20"/>
        </w:rPr>
      </w:pPr>
      <w:r w:rsidRPr="00ED5AD0">
        <w:rPr>
          <w:rFonts w:eastAsia="Times New Roman"/>
          <w:b/>
          <w:sz w:val="22"/>
        </w:rPr>
        <w:t>Carbon Reduction/Environmental Sustainability Implications</w:t>
      </w:r>
    </w:p>
    <w:p w14:paraId="7E8EDB4F" w14:textId="77777777" w:rsidR="00875842" w:rsidRPr="00ED5AD0" w:rsidRDefault="00875842" w:rsidP="00780E79">
      <w:pPr>
        <w:pStyle w:val="ListParagraph"/>
        <w:spacing w:after="0" w:line="240" w:lineRule="auto"/>
        <w:ind w:left="1008"/>
        <w:jc w:val="both"/>
        <w:rPr>
          <w:rFonts w:eastAsia="Times New Roman"/>
          <w:b/>
          <w:szCs w:val="20"/>
        </w:rPr>
      </w:pPr>
    </w:p>
    <w:p w14:paraId="49806527" w14:textId="77777777" w:rsidR="00875842" w:rsidRPr="00ED5AD0" w:rsidRDefault="00875842" w:rsidP="00780E79">
      <w:pPr>
        <w:pStyle w:val="ListParagraph"/>
        <w:spacing w:after="0" w:line="240" w:lineRule="auto"/>
        <w:ind w:left="709"/>
        <w:jc w:val="both"/>
        <w:rPr>
          <w:rFonts w:eastAsia="Times New Roman"/>
          <w:szCs w:val="20"/>
        </w:rPr>
      </w:pPr>
      <w:r w:rsidRPr="00ED5AD0">
        <w:rPr>
          <w:rFonts w:eastAsia="Times New Roman"/>
          <w:szCs w:val="20"/>
        </w:rPr>
        <w:t>No environmental sustainability implications are identified.</w:t>
      </w:r>
    </w:p>
    <w:p w14:paraId="5DB561F5" w14:textId="77777777" w:rsidR="00875842" w:rsidRPr="00ED5AD0" w:rsidRDefault="00875842" w:rsidP="00780E79">
      <w:pPr>
        <w:pStyle w:val="ListParagraph"/>
        <w:spacing w:after="0" w:line="240" w:lineRule="auto"/>
        <w:ind w:left="1008"/>
        <w:jc w:val="both"/>
        <w:rPr>
          <w:rFonts w:eastAsia="Times New Roman"/>
          <w:szCs w:val="20"/>
        </w:rPr>
      </w:pPr>
    </w:p>
    <w:p w14:paraId="127BD736" w14:textId="77777777" w:rsidR="00875842" w:rsidRPr="00ED5AD0" w:rsidRDefault="003255BB" w:rsidP="00D32888">
      <w:pPr>
        <w:pStyle w:val="ListParagraph"/>
        <w:numPr>
          <w:ilvl w:val="0"/>
          <w:numId w:val="40"/>
        </w:numPr>
        <w:contextualSpacing/>
        <w:jc w:val="both"/>
        <w:rPr>
          <w:b/>
        </w:rPr>
      </w:pPr>
      <w:r w:rsidRPr="00ED5AD0">
        <w:rPr>
          <w:b/>
        </w:rPr>
        <w:t>Appendices</w:t>
      </w:r>
    </w:p>
    <w:p w14:paraId="33FBF8FA" w14:textId="77777777" w:rsidR="00875842" w:rsidRPr="00ED5AD0" w:rsidRDefault="00875842" w:rsidP="00875842">
      <w:pPr>
        <w:pStyle w:val="ListParagraph"/>
        <w:spacing w:after="0" w:line="240" w:lineRule="auto"/>
        <w:ind w:left="1008"/>
        <w:jc w:val="both"/>
        <w:rPr>
          <w:rFonts w:eastAsia="Times New Roman"/>
          <w:szCs w:val="20"/>
        </w:rPr>
      </w:pPr>
    </w:p>
    <w:p w14:paraId="648B57CC" w14:textId="593D63B2" w:rsidR="00875842" w:rsidRPr="00ED5AD0" w:rsidRDefault="00875842" w:rsidP="00875842">
      <w:pPr>
        <w:pStyle w:val="ListParagraph"/>
        <w:spacing w:after="0" w:line="240" w:lineRule="auto"/>
        <w:ind w:left="2410" w:hanging="1701"/>
        <w:jc w:val="both"/>
        <w:rPr>
          <w:rFonts w:eastAsia="Times New Roman"/>
          <w:szCs w:val="20"/>
        </w:rPr>
      </w:pPr>
      <w:r w:rsidRPr="00ED5AD0">
        <w:rPr>
          <w:rFonts w:eastAsia="Times New Roman"/>
          <w:szCs w:val="20"/>
        </w:rPr>
        <w:t xml:space="preserve">Appendix 1: </w:t>
      </w:r>
      <w:r w:rsidR="00A24B2D" w:rsidRPr="00ED5AD0">
        <w:rPr>
          <w:rFonts w:eastAsia="Times New Roman"/>
          <w:szCs w:val="20"/>
        </w:rPr>
        <w:t>Pay Policy Statement 202</w:t>
      </w:r>
      <w:r w:rsidR="00B71B6D" w:rsidRPr="00ED5AD0">
        <w:rPr>
          <w:rFonts w:eastAsia="Times New Roman"/>
          <w:szCs w:val="20"/>
        </w:rPr>
        <w:t>5</w:t>
      </w:r>
      <w:r w:rsidR="00A24B2D" w:rsidRPr="00ED5AD0">
        <w:rPr>
          <w:rFonts w:eastAsia="Times New Roman"/>
          <w:szCs w:val="20"/>
        </w:rPr>
        <w:t>/2</w:t>
      </w:r>
      <w:r w:rsidR="00B71B6D" w:rsidRPr="00ED5AD0">
        <w:rPr>
          <w:rFonts w:eastAsia="Times New Roman"/>
          <w:szCs w:val="20"/>
        </w:rPr>
        <w:t>6</w:t>
      </w:r>
    </w:p>
    <w:p w14:paraId="50B42A2A" w14:textId="77777777" w:rsidR="00875842" w:rsidRPr="00ED5AD0" w:rsidRDefault="00875842" w:rsidP="00875842">
      <w:pPr>
        <w:pStyle w:val="ListParagraph"/>
        <w:spacing w:after="0" w:line="240" w:lineRule="auto"/>
        <w:ind w:left="2410" w:hanging="1402"/>
        <w:jc w:val="both"/>
        <w:rPr>
          <w:rFonts w:eastAsia="Times New Roman"/>
          <w:szCs w:val="20"/>
        </w:rPr>
      </w:pPr>
    </w:p>
    <w:p w14:paraId="2AC26D2B" w14:textId="77777777" w:rsidR="00875842" w:rsidRPr="00ED5AD0" w:rsidRDefault="00875842" w:rsidP="00875842">
      <w:pPr>
        <w:ind w:left="720"/>
        <w:jc w:val="both"/>
        <w:rPr>
          <w:b/>
          <w:bCs/>
        </w:rPr>
      </w:pPr>
      <w:r w:rsidRPr="00ED5AD0">
        <w:rPr>
          <w:bCs/>
        </w:rPr>
        <w:tab/>
      </w:r>
      <w:r w:rsidRPr="00ED5AD0">
        <w:rPr>
          <w:bCs/>
        </w:rPr>
        <w:tab/>
      </w:r>
      <w:r w:rsidRPr="00ED5AD0">
        <w:rPr>
          <w:bCs/>
        </w:rPr>
        <w:tab/>
      </w:r>
      <w:r w:rsidRPr="00ED5AD0">
        <w:rPr>
          <w:bCs/>
        </w:rPr>
        <w:tab/>
      </w:r>
      <w:r w:rsidRPr="00ED5AD0">
        <w:rPr>
          <w:bCs/>
        </w:rPr>
        <w:tab/>
      </w:r>
      <w:r w:rsidRPr="00ED5AD0">
        <w:rPr>
          <w:bCs/>
        </w:rPr>
        <w:tab/>
      </w:r>
      <w:r w:rsidRPr="00ED5AD0">
        <w:rPr>
          <w:bCs/>
        </w:rPr>
        <w:tab/>
      </w:r>
      <w:r w:rsidRPr="00ED5AD0">
        <w:rPr>
          <w:bCs/>
        </w:rPr>
        <w:tab/>
      </w:r>
      <w:r w:rsidRPr="00ED5AD0">
        <w:rPr>
          <w:bCs/>
        </w:rPr>
        <w:tab/>
      </w:r>
      <w:r w:rsidRPr="00ED5AD0">
        <w:rPr>
          <w:bCs/>
        </w:rPr>
        <w:tab/>
      </w:r>
      <w:r w:rsidRPr="00ED5AD0">
        <w:rPr>
          <w:bCs/>
        </w:rPr>
        <w:tab/>
      </w:r>
    </w:p>
    <w:p w14:paraId="7FE2D146" w14:textId="77777777" w:rsidR="00875842" w:rsidRPr="00ED5AD0" w:rsidRDefault="003255BB" w:rsidP="00D32888">
      <w:pPr>
        <w:pStyle w:val="ListParagraph"/>
        <w:numPr>
          <w:ilvl w:val="0"/>
          <w:numId w:val="40"/>
        </w:numPr>
        <w:contextualSpacing/>
        <w:jc w:val="both"/>
        <w:rPr>
          <w:b/>
          <w:szCs w:val="20"/>
        </w:rPr>
      </w:pPr>
      <w:r w:rsidRPr="00ED5AD0">
        <w:rPr>
          <w:b/>
          <w:szCs w:val="20"/>
        </w:rPr>
        <w:t>Background Papers</w:t>
      </w:r>
    </w:p>
    <w:p w14:paraId="3B8375A6" w14:textId="77777777" w:rsidR="00875842" w:rsidRPr="00ED5AD0" w:rsidRDefault="00875842" w:rsidP="00875842">
      <w:pPr>
        <w:pStyle w:val="ListParagraph"/>
        <w:spacing w:after="0" w:line="240" w:lineRule="auto"/>
        <w:ind w:left="709"/>
        <w:jc w:val="both"/>
        <w:rPr>
          <w:rFonts w:eastAsia="Times New Roman"/>
          <w:color w:val="000000"/>
          <w:szCs w:val="20"/>
        </w:rPr>
      </w:pPr>
    </w:p>
    <w:p w14:paraId="3D4527AA" w14:textId="77777777" w:rsidR="00875842" w:rsidRPr="00ED5AD0" w:rsidRDefault="00875842" w:rsidP="00780E79">
      <w:pPr>
        <w:pStyle w:val="ListParagraph"/>
        <w:spacing w:after="0" w:line="240" w:lineRule="auto"/>
        <w:ind w:left="709"/>
        <w:jc w:val="both"/>
        <w:rPr>
          <w:rFonts w:eastAsia="Times New Roman"/>
          <w:color w:val="000000"/>
          <w:szCs w:val="20"/>
        </w:rPr>
      </w:pPr>
      <w:r w:rsidRPr="00ED5AD0">
        <w:rPr>
          <w:rFonts w:eastAsia="Times New Roman"/>
          <w:color w:val="000000"/>
          <w:szCs w:val="20"/>
        </w:rPr>
        <w:t>There are no additional background papers</w:t>
      </w:r>
    </w:p>
    <w:p w14:paraId="210F6DBD" w14:textId="77777777" w:rsidR="00875842" w:rsidRPr="00ED5AD0" w:rsidRDefault="00875842" w:rsidP="00875842">
      <w:pPr>
        <w:jc w:val="both"/>
        <w:rPr>
          <w:bCs/>
        </w:rPr>
      </w:pPr>
    </w:p>
    <w:p w14:paraId="67F1C25A" w14:textId="77777777" w:rsidR="003255BB" w:rsidRPr="00ED5AD0" w:rsidRDefault="003255BB" w:rsidP="00875842">
      <w:pPr>
        <w:jc w:val="both"/>
        <w:rPr>
          <w:bCs/>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3255BB" w:rsidRPr="00ED5AD0" w14:paraId="7E2CEE95" w14:textId="77777777" w:rsidTr="003255BB">
        <w:tc>
          <w:tcPr>
            <w:tcW w:w="8856" w:type="dxa"/>
            <w:gridSpan w:val="2"/>
            <w:tcBorders>
              <w:bottom w:val="nil"/>
            </w:tcBorders>
            <w:shd w:val="clear" w:color="auto" w:fill="auto"/>
          </w:tcPr>
          <w:p w14:paraId="40B9D69B" w14:textId="77777777" w:rsidR="003255BB" w:rsidRPr="00ED5AD0" w:rsidRDefault="003255BB" w:rsidP="00780E79">
            <w:pPr>
              <w:jc w:val="both"/>
              <w:rPr>
                <w:b/>
              </w:rPr>
            </w:pPr>
            <w:r w:rsidRPr="00ED5AD0">
              <w:rPr>
                <w:b/>
              </w:rPr>
              <w:t xml:space="preserve">Statutory Officer approval </w:t>
            </w:r>
          </w:p>
          <w:p w14:paraId="346ABEF8" w14:textId="77777777" w:rsidR="003255BB" w:rsidRPr="00ED5AD0" w:rsidRDefault="003255BB" w:rsidP="00780E79">
            <w:pPr>
              <w:jc w:val="both"/>
              <w:rPr>
                <w:b/>
              </w:rPr>
            </w:pPr>
          </w:p>
        </w:tc>
      </w:tr>
      <w:tr w:rsidR="003255BB" w:rsidRPr="00ED5AD0" w14:paraId="2D02AB21" w14:textId="77777777" w:rsidTr="003255BB">
        <w:tc>
          <w:tcPr>
            <w:tcW w:w="4428" w:type="dxa"/>
            <w:tcBorders>
              <w:top w:val="nil"/>
              <w:bottom w:val="nil"/>
              <w:right w:val="nil"/>
            </w:tcBorders>
            <w:shd w:val="clear" w:color="auto" w:fill="auto"/>
          </w:tcPr>
          <w:p w14:paraId="1CC9B6B4" w14:textId="77777777" w:rsidR="003255BB" w:rsidRPr="00ED5AD0" w:rsidRDefault="003255BB" w:rsidP="00780E79">
            <w:pPr>
              <w:jc w:val="both"/>
              <w:rPr>
                <w:b/>
              </w:rPr>
            </w:pPr>
            <w:r w:rsidRPr="00ED5AD0">
              <w:rPr>
                <w:b/>
              </w:rPr>
              <w:t>Approved by:</w:t>
            </w:r>
          </w:p>
        </w:tc>
        <w:tc>
          <w:tcPr>
            <w:tcW w:w="4428" w:type="dxa"/>
            <w:tcBorders>
              <w:top w:val="nil"/>
              <w:left w:val="nil"/>
              <w:bottom w:val="nil"/>
            </w:tcBorders>
            <w:shd w:val="clear" w:color="auto" w:fill="auto"/>
          </w:tcPr>
          <w:p w14:paraId="0172D283" w14:textId="75E7B81C" w:rsidR="003255BB" w:rsidRPr="00ED5AD0" w:rsidRDefault="003255BB" w:rsidP="00780E79">
            <w:pPr>
              <w:jc w:val="both"/>
            </w:pPr>
            <w:r w:rsidRPr="00ED5AD0">
              <w:t xml:space="preserve">Chief Financial Officer </w:t>
            </w:r>
          </w:p>
        </w:tc>
      </w:tr>
      <w:tr w:rsidR="003255BB" w:rsidRPr="00ED5AD0" w14:paraId="3F3A4BB0" w14:textId="77777777" w:rsidTr="003255BB">
        <w:tc>
          <w:tcPr>
            <w:tcW w:w="4428" w:type="dxa"/>
            <w:tcBorders>
              <w:top w:val="nil"/>
              <w:bottom w:val="nil"/>
              <w:right w:val="nil"/>
            </w:tcBorders>
            <w:shd w:val="clear" w:color="auto" w:fill="auto"/>
          </w:tcPr>
          <w:p w14:paraId="5A6BEC07" w14:textId="77777777" w:rsidR="003255BB" w:rsidRPr="00ED5AD0" w:rsidRDefault="003255BB" w:rsidP="00780E79">
            <w:pPr>
              <w:jc w:val="both"/>
              <w:rPr>
                <w:b/>
              </w:rPr>
            </w:pPr>
            <w:r w:rsidRPr="00ED5AD0">
              <w:rPr>
                <w:b/>
              </w:rPr>
              <w:t>Date:</w:t>
            </w:r>
          </w:p>
        </w:tc>
        <w:tc>
          <w:tcPr>
            <w:tcW w:w="4428" w:type="dxa"/>
            <w:tcBorders>
              <w:top w:val="nil"/>
              <w:left w:val="nil"/>
              <w:bottom w:val="nil"/>
            </w:tcBorders>
            <w:shd w:val="clear" w:color="auto" w:fill="auto"/>
          </w:tcPr>
          <w:p w14:paraId="794AA21E" w14:textId="66FC42BA" w:rsidR="003255BB" w:rsidRPr="00ED5AD0" w:rsidRDefault="000F23A8" w:rsidP="00525C0B">
            <w:pPr>
              <w:jc w:val="both"/>
            </w:pPr>
            <w:r>
              <w:t>3</w:t>
            </w:r>
            <w:r w:rsidR="00203557" w:rsidRPr="00ED5AD0">
              <w:t xml:space="preserve">1 December </w:t>
            </w:r>
            <w:r w:rsidR="00710FFC" w:rsidRPr="00ED5AD0">
              <w:t>202</w:t>
            </w:r>
            <w:r w:rsidR="00F9414C" w:rsidRPr="00ED5AD0">
              <w:t>4</w:t>
            </w:r>
          </w:p>
        </w:tc>
      </w:tr>
      <w:tr w:rsidR="003255BB" w:rsidRPr="00ED5AD0" w14:paraId="6F96A9DB" w14:textId="77777777" w:rsidTr="003255BB">
        <w:tc>
          <w:tcPr>
            <w:tcW w:w="8856" w:type="dxa"/>
            <w:gridSpan w:val="2"/>
            <w:tcBorders>
              <w:top w:val="nil"/>
              <w:bottom w:val="nil"/>
            </w:tcBorders>
            <w:shd w:val="clear" w:color="auto" w:fill="auto"/>
          </w:tcPr>
          <w:p w14:paraId="3A768344" w14:textId="77777777" w:rsidR="003255BB" w:rsidRPr="00ED5AD0" w:rsidRDefault="003255BB" w:rsidP="00780E79">
            <w:pPr>
              <w:jc w:val="both"/>
              <w:rPr>
                <w:b/>
              </w:rPr>
            </w:pPr>
          </w:p>
        </w:tc>
      </w:tr>
      <w:tr w:rsidR="002A50A9" w:rsidRPr="00ED5AD0" w14:paraId="49FDA1B2" w14:textId="77777777" w:rsidTr="003255BB">
        <w:tc>
          <w:tcPr>
            <w:tcW w:w="4428" w:type="dxa"/>
            <w:tcBorders>
              <w:top w:val="nil"/>
              <w:bottom w:val="nil"/>
              <w:right w:val="nil"/>
            </w:tcBorders>
            <w:shd w:val="clear" w:color="auto" w:fill="auto"/>
          </w:tcPr>
          <w:p w14:paraId="01FF34D1" w14:textId="77777777" w:rsidR="002A50A9" w:rsidRPr="00ED5AD0" w:rsidRDefault="002A50A9" w:rsidP="002A50A9">
            <w:pPr>
              <w:jc w:val="both"/>
              <w:rPr>
                <w:b/>
              </w:rPr>
            </w:pPr>
            <w:r w:rsidRPr="00ED5AD0">
              <w:rPr>
                <w:b/>
              </w:rPr>
              <w:t xml:space="preserve">Approved by: </w:t>
            </w:r>
          </w:p>
        </w:tc>
        <w:tc>
          <w:tcPr>
            <w:tcW w:w="4428" w:type="dxa"/>
            <w:tcBorders>
              <w:top w:val="nil"/>
              <w:left w:val="nil"/>
              <w:bottom w:val="nil"/>
            </w:tcBorders>
            <w:shd w:val="clear" w:color="auto" w:fill="auto"/>
          </w:tcPr>
          <w:p w14:paraId="3699EBF3" w14:textId="77777777" w:rsidR="002A50A9" w:rsidRPr="00ED5AD0" w:rsidRDefault="002A50A9" w:rsidP="002A50A9">
            <w:pPr>
              <w:jc w:val="both"/>
            </w:pPr>
            <w:r w:rsidRPr="00ED5AD0">
              <w:t>Monitoring Officer</w:t>
            </w:r>
          </w:p>
        </w:tc>
      </w:tr>
      <w:tr w:rsidR="002A50A9" w:rsidRPr="00ED5AD0" w14:paraId="4E5BBE6E" w14:textId="77777777" w:rsidTr="003255BB">
        <w:tc>
          <w:tcPr>
            <w:tcW w:w="4428" w:type="dxa"/>
            <w:tcBorders>
              <w:top w:val="nil"/>
              <w:bottom w:val="nil"/>
              <w:right w:val="nil"/>
            </w:tcBorders>
            <w:shd w:val="clear" w:color="auto" w:fill="auto"/>
          </w:tcPr>
          <w:p w14:paraId="22310108" w14:textId="77777777" w:rsidR="002A50A9" w:rsidRPr="00ED5AD0" w:rsidRDefault="002A50A9" w:rsidP="002A50A9">
            <w:pPr>
              <w:jc w:val="both"/>
              <w:rPr>
                <w:b/>
              </w:rPr>
            </w:pPr>
            <w:r w:rsidRPr="00ED5AD0">
              <w:rPr>
                <w:b/>
              </w:rPr>
              <w:t>Date:</w:t>
            </w:r>
          </w:p>
          <w:p w14:paraId="4D0161CD" w14:textId="77777777" w:rsidR="002A50A9" w:rsidRPr="00ED5AD0" w:rsidRDefault="002A50A9" w:rsidP="002A50A9">
            <w:pPr>
              <w:jc w:val="both"/>
              <w:rPr>
                <w:b/>
              </w:rPr>
            </w:pPr>
          </w:p>
        </w:tc>
        <w:tc>
          <w:tcPr>
            <w:tcW w:w="4428" w:type="dxa"/>
            <w:tcBorders>
              <w:top w:val="nil"/>
              <w:left w:val="nil"/>
              <w:bottom w:val="nil"/>
            </w:tcBorders>
            <w:shd w:val="clear" w:color="auto" w:fill="auto"/>
          </w:tcPr>
          <w:p w14:paraId="4911E3C4" w14:textId="5F5D8451" w:rsidR="002A50A9" w:rsidRPr="00ED5AD0" w:rsidRDefault="000F23A8" w:rsidP="002A50A9">
            <w:pPr>
              <w:jc w:val="both"/>
            </w:pPr>
            <w:r>
              <w:t>3</w:t>
            </w:r>
            <w:r w:rsidR="00203557" w:rsidRPr="00ED5AD0">
              <w:t xml:space="preserve">1 December </w:t>
            </w:r>
            <w:r w:rsidR="00710FFC" w:rsidRPr="00ED5AD0">
              <w:t>202</w:t>
            </w:r>
            <w:r w:rsidR="00F9414C" w:rsidRPr="00ED5AD0">
              <w:t>4</w:t>
            </w:r>
          </w:p>
        </w:tc>
      </w:tr>
      <w:tr w:rsidR="002A50A9" w:rsidRPr="00ED5AD0" w14:paraId="50CE4F84" w14:textId="77777777" w:rsidTr="003255BB">
        <w:tc>
          <w:tcPr>
            <w:tcW w:w="8856" w:type="dxa"/>
            <w:gridSpan w:val="2"/>
            <w:tcBorders>
              <w:top w:val="nil"/>
            </w:tcBorders>
            <w:shd w:val="clear" w:color="auto" w:fill="auto"/>
          </w:tcPr>
          <w:p w14:paraId="30A54ED7" w14:textId="77777777" w:rsidR="002A50A9" w:rsidRPr="00ED5AD0" w:rsidRDefault="002A50A9" w:rsidP="002A50A9">
            <w:pPr>
              <w:jc w:val="both"/>
              <w:rPr>
                <w:b/>
              </w:rPr>
            </w:pPr>
          </w:p>
        </w:tc>
      </w:tr>
    </w:tbl>
    <w:p w14:paraId="15CD6AC0" w14:textId="77777777" w:rsidR="003255BB" w:rsidRPr="00ED5AD0" w:rsidRDefault="003255BB" w:rsidP="00875842">
      <w:pPr>
        <w:jc w:val="both"/>
        <w:rPr>
          <w:bCs/>
        </w:rPr>
      </w:pPr>
    </w:p>
    <w:p w14:paraId="0484FB88" w14:textId="77777777" w:rsidR="00875842" w:rsidRPr="00ED5AD0" w:rsidRDefault="00875842" w:rsidP="00875842">
      <w:pPr>
        <w:jc w:val="both"/>
        <w:rPr>
          <w:bCs/>
        </w:rPr>
      </w:pPr>
    </w:p>
    <w:p w14:paraId="7CB23139" w14:textId="77777777" w:rsidR="00CD5CA0" w:rsidRPr="00ED5AD0" w:rsidRDefault="00CD5CA0" w:rsidP="00875842">
      <w:pPr>
        <w:jc w:val="both"/>
        <w:rPr>
          <w:rFonts w:cs="Arial"/>
          <w:b/>
          <w:szCs w:val="24"/>
        </w:rPr>
      </w:pPr>
      <w:r w:rsidRPr="00ED5AD0">
        <w:rPr>
          <w:rFonts w:cs="Arial"/>
          <w:b/>
          <w:szCs w:val="24"/>
        </w:rPr>
        <w:br w:type="page"/>
      </w:r>
    </w:p>
    <w:p w14:paraId="5B1746F9" w14:textId="77777777" w:rsidR="00CD5CA0" w:rsidRPr="00ED5AD0" w:rsidRDefault="00CD5CA0" w:rsidP="00CD5CA0">
      <w:pPr>
        <w:jc w:val="right"/>
        <w:rPr>
          <w:rFonts w:cs="Arial"/>
          <w:b/>
          <w:szCs w:val="24"/>
        </w:rPr>
      </w:pPr>
    </w:p>
    <w:p w14:paraId="270AB49F" w14:textId="77777777" w:rsidR="003E24C0" w:rsidRPr="00ED5AD0" w:rsidRDefault="0026190E" w:rsidP="00604CF5">
      <w:pPr>
        <w:jc w:val="right"/>
        <w:rPr>
          <w:b/>
        </w:rPr>
      </w:pPr>
      <w:r w:rsidRPr="00ED5AD0">
        <w:rPr>
          <w:b/>
        </w:rPr>
        <w:t>A</w:t>
      </w:r>
      <w:r w:rsidR="00551F34" w:rsidRPr="00ED5AD0">
        <w:rPr>
          <w:b/>
        </w:rPr>
        <w:t>ppendix 1</w:t>
      </w:r>
      <w:r w:rsidR="00DB62C7" w:rsidRPr="00ED5AD0">
        <w:rPr>
          <w:b/>
        </w:rPr>
        <w:t xml:space="preserve"> </w:t>
      </w:r>
    </w:p>
    <w:p w14:paraId="60BFFC65" w14:textId="423EF529" w:rsidR="000B5E42" w:rsidRPr="00ED5AD0" w:rsidRDefault="00813B56" w:rsidP="0007286B">
      <w:pPr>
        <w:jc w:val="both"/>
        <w:rPr>
          <w:rFonts w:cs="Arial"/>
          <w:b/>
          <w:bCs/>
          <w:color w:val="000000"/>
          <w:sz w:val="32"/>
          <w:szCs w:val="32"/>
        </w:rPr>
      </w:pPr>
      <w:r w:rsidRPr="00ED5AD0">
        <w:rPr>
          <w:rFonts w:cs="Arial"/>
          <w:b/>
          <w:bCs/>
          <w:color w:val="000000"/>
          <w:sz w:val="32"/>
          <w:szCs w:val="32"/>
        </w:rPr>
        <w:t xml:space="preserve">Gedling Borough Council; </w:t>
      </w:r>
      <w:r w:rsidR="00B32D57" w:rsidRPr="00ED5AD0">
        <w:rPr>
          <w:rFonts w:cs="Arial"/>
          <w:b/>
          <w:bCs/>
          <w:color w:val="000000"/>
          <w:sz w:val="32"/>
          <w:szCs w:val="32"/>
        </w:rPr>
        <w:t>Pay Policy Sta</w:t>
      </w:r>
      <w:r w:rsidR="00A24B2D" w:rsidRPr="00ED5AD0">
        <w:rPr>
          <w:rFonts w:cs="Arial"/>
          <w:b/>
          <w:bCs/>
          <w:color w:val="000000"/>
          <w:sz w:val="32"/>
          <w:szCs w:val="32"/>
        </w:rPr>
        <w:t xml:space="preserve">tement </w:t>
      </w:r>
      <w:r w:rsidR="00A24B2D" w:rsidRPr="00ED5AD0">
        <w:rPr>
          <w:rFonts w:cs="Arial"/>
          <w:b/>
          <w:bCs/>
          <w:color w:val="000000" w:themeColor="text1"/>
          <w:sz w:val="32"/>
          <w:szCs w:val="32"/>
        </w:rPr>
        <w:t>202</w:t>
      </w:r>
      <w:r w:rsidR="00B71B6D" w:rsidRPr="00ED5AD0">
        <w:rPr>
          <w:rFonts w:cs="Arial"/>
          <w:b/>
          <w:bCs/>
          <w:color w:val="000000" w:themeColor="text1"/>
          <w:sz w:val="32"/>
          <w:szCs w:val="32"/>
        </w:rPr>
        <w:t>5-26</w:t>
      </w:r>
    </w:p>
    <w:p w14:paraId="40429737" w14:textId="77777777" w:rsidR="001A0B9A" w:rsidRPr="00ED5AD0" w:rsidRDefault="001A0B9A" w:rsidP="0007286B">
      <w:pPr>
        <w:jc w:val="both"/>
        <w:rPr>
          <w:rFonts w:cs="Arial"/>
          <w:b/>
          <w:bCs/>
          <w:color w:val="000000"/>
          <w:sz w:val="32"/>
          <w:szCs w:val="32"/>
        </w:rPr>
      </w:pPr>
    </w:p>
    <w:p w14:paraId="55B001BB" w14:textId="77777777" w:rsidR="000B5E42" w:rsidRPr="00ED5AD0" w:rsidRDefault="000B5E42" w:rsidP="00D32888">
      <w:pPr>
        <w:numPr>
          <w:ilvl w:val="0"/>
          <w:numId w:val="5"/>
        </w:numPr>
        <w:rPr>
          <w:rFonts w:cs="Arial"/>
          <w:b/>
          <w:color w:val="000000"/>
          <w:szCs w:val="24"/>
        </w:rPr>
      </w:pPr>
      <w:r w:rsidRPr="00ED5AD0">
        <w:rPr>
          <w:rFonts w:cs="Arial"/>
          <w:b/>
          <w:color w:val="000000"/>
          <w:szCs w:val="24"/>
        </w:rPr>
        <w:t>Introduction</w:t>
      </w:r>
    </w:p>
    <w:p w14:paraId="5C3F3A39" w14:textId="77777777" w:rsidR="001F5D9D" w:rsidRPr="00ED5AD0" w:rsidRDefault="00DF103A" w:rsidP="00F30599">
      <w:pPr>
        <w:ind w:left="426"/>
        <w:rPr>
          <w:rFonts w:cs="Arial"/>
          <w:color w:val="000000"/>
          <w:szCs w:val="24"/>
          <w:lang w:val="en" w:eastAsia="en-GB"/>
        </w:rPr>
      </w:pPr>
      <w:r w:rsidRPr="00ED5AD0">
        <w:rPr>
          <w:rFonts w:cs="Arial"/>
          <w:color w:val="000000"/>
          <w:szCs w:val="24"/>
        </w:rPr>
        <w:t>Section 38 of the Localism</w:t>
      </w:r>
      <w:r w:rsidRPr="00ED5AD0">
        <w:rPr>
          <w:rFonts w:cs="Arial"/>
          <w:szCs w:val="24"/>
        </w:rPr>
        <w:t xml:space="preserve"> Act 2011 requires local authorities to publish a Pay Policy Statement by 31 March each year. </w:t>
      </w:r>
      <w:r w:rsidRPr="00ED5AD0">
        <w:rPr>
          <w:rFonts w:cs="Arial"/>
          <w:color w:val="000000"/>
          <w:szCs w:val="24"/>
          <w:lang w:val="en" w:eastAsia="en-GB"/>
        </w:rPr>
        <w:t>The purpose of the Statement is to increase accountability in relation to payments made to senior members of local authority staff by enabling public scrutiny.</w:t>
      </w:r>
      <w:r w:rsidR="001F5D9D" w:rsidRPr="00ED5AD0">
        <w:rPr>
          <w:rFonts w:cs="Arial"/>
          <w:color w:val="000000"/>
          <w:szCs w:val="24"/>
          <w:lang w:val="en" w:eastAsia="en-GB"/>
        </w:rPr>
        <w:t xml:space="preserve">  </w:t>
      </w:r>
    </w:p>
    <w:p w14:paraId="00A98E01" w14:textId="77777777" w:rsidR="001F5D9D" w:rsidRPr="00ED5AD0" w:rsidRDefault="001F5D9D" w:rsidP="00F30599">
      <w:pPr>
        <w:ind w:left="426"/>
        <w:rPr>
          <w:rFonts w:cs="Arial"/>
          <w:color w:val="000000"/>
          <w:szCs w:val="24"/>
          <w:lang w:val="en" w:eastAsia="en-GB"/>
        </w:rPr>
      </w:pPr>
    </w:p>
    <w:p w14:paraId="03B9620E" w14:textId="77777777" w:rsidR="00011498" w:rsidRPr="00ED5AD0" w:rsidRDefault="00011498" w:rsidP="00F30599">
      <w:pPr>
        <w:ind w:left="426"/>
        <w:rPr>
          <w:rFonts w:cs="Arial"/>
          <w:szCs w:val="24"/>
          <w:lang w:val="en" w:eastAsia="en-GB"/>
        </w:rPr>
      </w:pPr>
      <w:r w:rsidRPr="00ED5AD0">
        <w:rPr>
          <w:rFonts w:cs="Arial"/>
          <w:color w:val="000000"/>
          <w:szCs w:val="24"/>
          <w:lang w:val="en" w:eastAsia="en-GB"/>
        </w:rPr>
        <w:t>The Pay Policy Statement has been drafted not only to meet the requirements of the Localism Act, but also is designed to</w:t>
      </w:r>
      <w:r w:rsidR="00A72FDC" w:rsidRPr="00ED5AD0">
        <w:rPr>
          <w:rFonts w:cs="Arial"/>
          <w:color w:val="000000"/>
          <w:szCs w:val="24"/>
          <w:lang w:val="en" w:eastAsia="en-GB"/>
        </w:rPr>
        <w:t xml:space="preserve"> </w:t>
      </w:r>
      <w:r w:rsidRPr="00ED5AD0">
        <w:rPr>
          <w:rFonts w:cs="Arial"/>
          <w:color w:val="000000"/>
          <w:szCs w:val="24"/>
          <w:lang w:val="en" w:eastAsia="en-GB"/>
        </w:rPr>
        <w:t>reflect the principles of the Code of Recommended Practice for Local Authorities on Data Transparency</w:t>
      </w:r>
      <w:r w:rsidR="0041744E" w:rsidRPr="00ED5AD0">
        <w:rPr>
          <w:rFonts w:cs="Arial"/>
          <w:color w:val="000000"/>
          <w:szCs w:val="24"/>
          <w:lang w:val="en" w:eastAsia="en-GB"/>
        </w:rPr>
        <w:t xml:space="preserve"> (updated in 201</w:t>
      </w:r>
      <w:r w:rsidR="003A102C" w:rsidRPr="00ED5AD0">
        <w:rPr>
          <w:rFonts w:cs="Arial"/>
          <w:color w:val="000000"/>
          <w:szCs w:val="24"/>
          <w:lang w:val="en" w:eastAsia="en-GB"/>
        </w:rPr>
        <w:t>5</w:t>
      </w:r>
      <w:r w:rsidR="0041744E" w:rsidRPr="00ED5AD0">
        <w:rPr>
          <w:rFonts w:cs="Arial"/>
          <w:color w:val="000000"/>
          <w:szCs w:val="24"/>
          <w:lang w:val="en" w:eastAsia="en-GB"/>
        </w:rPr>
        <w:t>)</w:t>
      </w:r>
      <w:r w:rsidR="00A72FDC" w:rsidRPr="00ED5AD0">
        <w:rPr>
          <w:rFonts w:cs="Arial"/>
          <w:color w:val="000000"/>
          <w:szCs w:val="24"/>
          <w:lang w:val="en" w:eastAsia="en-GB"/>
        </w:rPr>
        <w:t xml:space="preserve">, the Accounts and Audit (England) Regulations 2011 </w:t>
      </w:r>
      <w:r w:rsidRPr="00ED5AD0">
        <w:rPr>
          <w:rFonts w:cs="Arial"/>
          <w:color w:val="000000"/>
          <w:szCs w:val="24"/>
          <w:lang w:val="en" w:eastAsia="en-GB"/>
        </w:rPr>
        <w:t xml:space="preserve">and aspects of good practice highlighted by the Local Government Association and the Association of Local Authority Chief </w:t>
      </w:r>
      <w:r w:rsidRPr="00ED5AD0">
        <w:rPr>
          <w:rFonts w:cs="Arial"/>
          <w:szCs w:val="24"/>
          <w:lang w:val="en" w:eastAsia="en-GB"/>
        </w:rPr>
        <w:t>Executives.</w:t>
      </w:r>
      <w:r w:rsidR="00436291" w:rsidRPr="00ED5AD0">
        <w:rPr>
          <w:rFonts w:cs="Arial"/>
          <w:szCs w:val="24"/>
          <w:lang w:val="en" w:eastAsia="en-GB"/>
        </w:rPr>
        <w:t xml:space="preserve">  Furthermore, th</w:t>
      </w:r>
      <w:r w:rsidR="00A26CA8" w:rsidRPr="00ED5AD0">
        <w:rPr>
          <w:rFonts w:cs="Arial"/>
          <w:szCs w:val="24"/>
          <w:lang w:val="en" w:eastAsia="en-GB"/>
        </w:rPr>
        <w:t>e</w:t>
      </w:r>
      <w:r w:rsidR="00436291" w:rsidRPr="00ED5AD0">
        <w:rPr>
          <w:rFonts w:cs="Arial"/>
          <w:szCs w:val="24"/>
          <w:lang w:val="en" w:eastAsia="en-GB"/>
        </w:rPr>
        <w:t xml:space="preserve"> </w:t>
      </w:r>
      <w:r w:rsidR="00A26CA8" w:rsidRPr="00ED5AD0">
        <w:rPr>
          <w:rFonts w:cs="Arial"/>
          <w:szCs w:val="24"/>
          <w:lang w:val="en" w:eastAsia="en-GB"/>
        </w:rPr>
        <w:t>S</w:t>
      </w:r>
      <w:r w:rsidR="00436291" w:rsidRPr="00ED5AD0">
        <w:rPr>
          <w:rFonts w:cs="Arial"/>
          <w:szCs w:val="24"/>
          <w:lang w:val="en" w:eastAsia="en-GB"/>
        </w:rPr>
        <w:t xml:space="preserve">tatement also </w:t>
      </w:r>
      <w:r w:rsidR="009970A1" w:rsidRPr="00ED5AD0">
        <w:rPr>
          <w:rFonts w:cs="Arial"/>
          <w:szCs w:val="24"/>
          <w:lang w:val="en" w:eastAsia="en-GB"/>
        </w:rPr>
        <w:t xml:space="preserve">has regard to </w:t>
      </w:r>
      <w:r w:rsidR="00436291" w:rsidRPr="00ED5AD0">
        <w:rPr>
          <w:rFonts w:cs="Arial"/>
          <w:szCs w:val="24"/>
          <w:lang w:val="en" w:eastAsia="en-GB"/>
        </w:rPr>
        <w:t>the guidance made available in February 2013 by the Department for Communities and Local Government in respect to “openness and accountability” as described in section 40 of the Localism Act.</w:t>
      </w:r>
    </w:p>
    <w:p w14:paraId="79F37492" w14:textId="77777777" w:rsidR="006F7E33" w:rsidRPr="00ED5AD0" w:rsidRDefault="006F7E33" w:rsidP="00F30599">
      <w:pPr>
        <w:ind w:left="426"/>
        <w:rPr>
          <w:rFonts w:cs="Arial"/>
          <w:szCs w:val="24"/>
          <w:lang w:val="en" w:eastAsia="en-GB"/>
        </w:rPr>
      </w:pPr>
    </w:p>
    <w:p w14:paraId="0BCC074D" w14:textId="77777777" w:rsidR="006F7E33" w:rsidRPr="00ED5AD0" w:rsidRDefault="006F7E33" w:rsidP="00F30599">
      <w:pPr>
        <w:ind w:left="426"/>
        <w:rPr>
          <w:rFonts w:cs="Arial"/>
          <w:color w:val="FF0000"/>
          <w:szCs w:val="24"/>
          <w:lang w:val="en" w:eastAsia="en-GB"/>
        </w:rPr>
      </w:pPr>
      <w:r w:rsidRPr="00ED5AD0">
        <w:rPr>
          <w:rFonts w:cs="Arial"/>
          <w:color w:val="000000"/>
          <w:szCs w:val="24"/>
          <w:lang w:val="en" w:eastAsia="en-GB"/>
        </w:rPr>
        <w:t xml:space="preserve">The Statement is also used to publish Gender Pay Gap information required under the Equality Act 2010 (Gender Pay Gap Information) Regulations 2017 and information relating to time spent on support of </w:t>
      </w:r>
      <w:proofErr w:type="spellStart"/>
      <w:r w:rsidRPr="00ED5AD0">
        <w:rPr>
          <w:rFonts w:cs="Arial"/>
          <w:color w:val="000000"/>
          <w:szCs w:val="24"/>
          <w:lang w:val="en" w:eastAsia="en-GB"/>
        </w:rPr>
        <w:t>recognised</w:t>
      </w:r>
      <w:proofErr w:type="spellEnd"/>
      <w:r w:rsidRPr="00ED5AD0">
        <w:rPr>
          <w:rFonts w:cs="Arial"/>
          <w:color w:val="000000"/>
          <w:szCs w:val="24"/>
          <w:lang w:val="en" w:eastAsia="en-GB"/>
        </w:rPr>
        <w:t xml:space="preserve"> trade unions as required by the Trade Union (Facility Time Publication Requirements) Regulations 2017.</w:t>
      </w:r>
    </w:p>
    <w:p w14:paraId="2D40CBBF" w14:textId="77777777" w:rsidR="00D97252" w:rsidRPr="00ED5AD0" w:rsidRDefault="00D97252" w:rsidP="00F30599">
      <w:pPr>
        <w:ind w:left="426"/>
        <w:rPr>
          <w:rFonts w:cs="Arial"/>
          <w:color w:val="000000"/>
          <w:szCs w:val="24"/>
          <w:lang w:val="en" w:eastAsia="en-GB"/>
        </w:rPr>
      </w:pPr>
    </w:p>
    <w:p w14:paraId="29D52FC3" w14:textId="77777777" w:rsidR="00D97252" w:rsidRPr="00ED5AD0" w:rsidRDefault="00D97252" w:rsidP="00D32888">
      <w:pPr>
        <w:numPr>
          <w:ilvl w:val="0"/>
          <w:numId w:val="5"/>
        </w:numPr>
        <w:rPr>
          <w:rFonts w:cs="Arial"/>
          <w:b/>
          <w:szCs w:val="24"/>
        </w:rPr>
      </w:pPr>
      <w:r w:rsidRPr="00ED5AD0">
        <w:rPr>
          <w:rFonts w:cs="Arial"/>
          <w:b/>
          <w:color w:val="000000"/>
          <w:szCs w:val="24"/>
          <w:lang w:val="en" w:eastAsia="en-GB"/>
        </w:rPr>
        <w:t xml:space="preserve">Pay Policy </w:t>
      </w:r>
      <w:proofErr w:type="gramStart"/>
      <w:r w:rsidRPr="00ED5AD0">
        <w:rPr>
          <w:rFonts w:cs="Arial"/>
          <w:b/>
          <w:color w:val="000000"/>
          <w:szCs w:val="24"/>
          <w:lang w:val="en" w:eastAsia="en-GB"/>
        </w:rPr>
        <w:t>Statement;</w:t>
      </w:r>
      <w:proofErr w:type="gramEnd"/>
      <w:r w:rsidRPr="00ED5AD0">
        <w:rPr>
          <w:rFonts w:cs="Arial"/>
          <w:b/>
          <w:color w:val="000000"/>
          <w:szCs w:val="24"/>
          <w:lang w:val="en" w:eastAsia="en-GB"/>
        </w:rPr>
        <w:t xml:space="preserve"> Executive Summary</w:t>
      </w:r>
    </w:p>
    <w:p w14:paraId="7296095A" w14:textId="0DF86B1E" w:rsidR="00644A98" w:rsidRPr="00ED5AD0" w:rsidRDefault="00644A98" w:rsidP="00644A98">
      <w:pPr>
        <w:ind w:left="360"/>
        <w:rPr>
          <w:rFonts w:cs="Arial"/>
          <w:szCs w:val="24"/>
        </w:rPr>
      </w:pPr>
      <w:r w:rsidRPr="00ED5AD0">
        <w:rPr>
          <w:rFonts w:cs="Arial"/>
          <w:szCs w:val="24"/>
        </w:rPr>
        <w:t xml:space="preserve">Details necessary for publication are explored fully in this Pay Policy Statement in sections three and four.  The Executive Summary does not reflect all information required or recommended in the legislation and guidance described in the introduction above; however, it is designed to show key information in a simple, digestible format. </w:t>
      </w:r>
      <w:r w:rsidR="00672C22" w:rsidRPr="00ED5AD0">
        <w:rPr>
          <w:rFonts w:cs="Arial"/>
          <w:szCs w:val="24"/>
        </w:rPr>
        <w:t>Unless otherwise stated, d</w:t>
      </w:r>
      <w:r w:rsidR="007B7A9B" w:rsidRPr="00ED5AD0">
        <w:rPr>
          <w:rFonts w:cs="Arial"/>
          <w:szCs w:val="24"/>
        </w:rPr>
        <w:t>ata</w:t>
      </w:r>
      <w:r w:rsidR="00472D17" w:rsidRPr="00ED5AD0">
        <w:rPr>
          <w:rFonts w:cs="Arial"/>
          <w:szCs w:val="24"/>
        </w:rPr>
        <w:t xml:space="preserve"> in these tables</w:t>
      </w:r>
      <w:r w:rsidR="007B7A9B" w:rsidRPr="00ED5AD0">
        <w:rPr>
          <w:rFonts w:cs="Arial"/>
          <w:szCs w:val="24"/>
        </w:rPr>
        <w:t xml:space="preserve"> is current </w:t>
      </w:r>
      <w:proofErr w:type="gramStart"/>
      <w:r w:rsidR="007B7A9B" w:rsidRPr="00ED5AD0">
        <w:rPr>
          <w:rFonts w:cs="Arial"/>
          <w:szCs w:val="24"/>
        </w:rPr>
        <w:t>at</w:t>
      </w:r>
      <w:proofErr w:type="gramEnd"/>
      <w:r w:rsidR="007B7A9B" w:rsidRPr="00ED5AD0">
        <w:rPr>
          <w:rFonts w:cs="Arial"/>
          <w:szCs w:val="24"/>
        </w:rPr>
        <w:t xml:space="preserve"> 3</w:t>
      </w:r>
      <w:r w:rsidR="00916C1B" w:rsidRPr="00ED5AD0">
        <w:rPr>
          <w:rFonts w:cs="Arial"/>
          <w:szCs w:val="24"/>
        </w:rPr>
        <w:t>0 November</w:t>
      </w:r>
      <w:r w:rsidR="007B7A9B" w:rsidRPr="00ED5AD0">
        <w:rPr>
          <w:rFonts w:cs="Arial"/>
          <w:szCs w:val="24"/>
        </w:rPr>
        <w:t xml:space="preserve"> 20</w:t>
      </w:r>
      <w:r w:rsidR="0003276B" w:rsidRPr="00ED5AD0">
        <w:rPr>
          <w:rFonts w:cs="Arial"/>
          <w:szCs w:val="24"/>
        </w:rPr>
        <w:t>2</w:t>
      </w:r>
      <w:r w:rsidR="00B71B6D" w:rsidRPr="00ED5AD0">
        <w:rPr>
          <w:rFonts w:cs="Arial"/>
          <w:szCs w:val="24"/>
        </w:rPr>
        <w:t>4</w:t>
      </w:r>
      <w:r w:rsidR="007B7A9B" w:rsidRPr="00ED5AD0">
        <w:rPr>
          <w:rFonts w:cs="Arial"/>
          <w:szCs w:val="24"/>
        </w:rPr>
        <w:t>.</w:t>
      </w:r>
    </w:p>
    <w:p w14:paraId="00F1C6C6" w14:textId="77777777" w:rsidR="003846FC" w:rsidRPr="00ED5AD0" w:rsidRDefault="003846FC" w:rsidP="00644A98">
      <w:pPr>
        <w:ind w:left="360"/>
        <w:rPr>
          <w:rFonts w:cs="Arial"/>
          <w:szCs w:val="24"/>
        </w:rPr>
      </w:pPr>
    </w:p>
    <w:p w14:paraId="56633DD2" w14:textId="77777777" w:rsidR="009A4C79" w:rsidRPr="00ED5AD0" w:rsidRDefault="00192D78" w:rsidP="00644A98">
      <w:pPr>
        <w:ind w:left="360"/>
        <w:rPr>
          <w:rFonts w:cs="Arial"/>
          <w:b/>
          <w:szCs w:val="24"/>
        </w:rPr>
      </w:pPr>
      <w:bookmarkStart w:id="3" w:name="_Hlk182213867"/>
      <w:r w:rsidRPr="00ED5AD0">
        <w:rPr>
          <w:rFonts w:cs="Arial"/>
          <w:b/>
          <w:szCs w:val="24"/>
        </w:rPr>
        <w:t xml:space="preserve">General </w:t>
      </w:r>
      <w:r w:rsidR="00C57281" w:rsidRPr="00ED5AD0">
        <w:rPr>
          <w:rFonts w:cs="Arial"/>
          <w:b/>
          <w:szCs w:val="24"/>
        </w:rPr>
        <w:t>Council pay data</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961"/>
      </w:tblGrid>
      <w:tr w:rsidR="002E24A1" w:rsidRPr="00ED5AD0" w14:paraId="1B05A0AC" w14:textId="77777777" w:rsidTr="006A3971">
        <w:tc>
          <w:tcPr>
            <w:tcW w:w="4143" w:type="dxa"/>
          </w:tcPr>
          <w:p w14:paraId="38477B5B" w14:textId="77777777" w:rsidR="002E24A1" w:rsidRPr="00ED5AD0" w:rsidRDefault="002E24A1" w:rsidP="002E24A1">
            <w:pPr>
              <w:rPr>
                <w:rFonts w:cs="Arial"/>
                <w:szCs w:val="24"/>
              </w:rPr>
            </w:pPr>
            <w:r w:rsidRPr="00ED5AD0">
              <w:rPr>
                <w:rFonts w:cs="Arial"/>
                <w:szCs w:val="24"/>
              </w:rPr>
              <w:t xml:space="preserve">Lowest rate of pay </w:t>
            </w:r>
            <w:r w:rsidRPr="00ED5AD0">
              <w:rPr>
                <w:rFonts w:cs="Arial"/>
                <w:sz w:val="20"/>
              </w:rPr>
              <w:t>(</w:t>
            </w:r>
            <w:proofErr w:type="spellStart"/>
            <w:r w:rsidRPr="00ED5AD0">
              <w:rPr>
                <w:rFonts w:cs="Arial"/>
                <w:sz w:val="20"/>
              </w:rPr>
              <w:t>Exc</w:t>
            </w:r>
            <w:proofErr w:type="spellEnd"/>
            <w:r w:rsidRPr="00ED5AD0">
              <w:rPr>
                <w:rFonts w:cs="Arial"/>
                <w:sz w:val="20"/>
              </w:rPr>
              <w:t xml:space="preserve"> Training Grade)</w:t>
            </w:r>
          </w:p>
        </w:tc>
        <w:tc>
          <w:tcPr>
            <w:tcW w:w="4961" w:type="dxa"/>
            <w:vAlign w:val="center"/>
          </w:tcPr>
          <w:p w14:paraId="29541DBD" w14:textId="66BA9B75" w:rsidR="002E24A1" w:rsidRPr="00ED5AD0" w:rsidRDefault="002E24A1" w:rsidP="002E24A1">
            <w:pPr>
              <w:rPr>
                <w:rFonts w:cs="Arial"/>
                <w:szCs w:val="24"/>
              </w:rPr>
            </w:pPr>
            <w:r w:rsidRPr="00ED5AD0">
              <w:rPr>
                <w:rFonts w:cs="Arial"/>
                <w:color w:val="000000"/>
              </w:rPr>
              <w:t>£24,790 p.a. full time rate</w:t>
            </w:r>
          </w:p>
        </w:tc>
      </w:tr>
      <w:tr w:rsidR="002E24A1" w:rsidRPr="00ED5AD0" w14:paraId="56B6AEBB" w14:textId="77777777" w:rsidTr="006A3971">
        <w:tc>
          <w:tcPr>
            <w:tcW w:w="4143" w:type="dxa"/>
          </w:tcPr>
          <w:p w14:paraId="41F1A520" w14:textId="77777777" w:rsidR="002E24A1" w:rsidRPr="00ED5AD0" w:rsidRDefault="002E24A1" w:rsidP="002E24A1">
            <w:pPr>
              <w:rPr>
                <w:rFonts w:cs="Arial"/>
                <w:szCs w:val="24"/>
              </w:rPr>
            </w:pPr>
            <w:r w:rsidRPr="00ED5AD0">
              <w:rPr>
                <w:rFonts w:cs="Arial"/>
                <w:szCs w:val="24"/>
              </w:rPr>
              <w:t>Median rate of pay</w:t>
            </w:r>
          </w:p>
        </w:tc>
        <w:tc>
          <w:tcPr>
            <w:tcW w:w="4961" w:type="dxa"/>
            <w:vAlign w:val="center"/>
          </w:tcPr>
          <w:p w14:paraId="6E5890C4" w14:textId="1FEAD17D" w:rsidR="002E24A1" w:rsidRPr="00ED5AD0" w:rsidRDefault="002E24A1" w:rsidP="002E24A1">
            <w:pPr>
              <w:rPr>
                <w:rFonts w:cs="Arial"/>
                <w:szCs w:val="24"/>
              </w:rPr>
            </w:pPr>
            <w:r w:rsidRPr="00ED5AD0">
              <w:rPr>
                <w:rFonts w:cs="Arial"/>
                <w:color w:val="000000"/>
              </w:rPr>
              <w:t>£28,624 p.a. full time rate</w:t>
            </w:r>
          </w:p>
        </w:tc>
      </w:tr>
      <w:tr w:rsidR="002E24A1" w:rsidRPr="00ED5AD0" w14:paraId="725DEA96" w14:textId="77777777" w:rsidTr="006A3971">
        <w:tc>
          <w:tcPr>
            <w:tcW w:w="4143" w:type="dxa"/>
          </w:tcPr>
          <w:p w14:paraId="395A1BC5" w14:textId="77777777" w:rsidR="002E24A1" w:rsidRPr="00ED5AD0" w:rsidRDefault="002E24A1" w:rsidP="002E24A1">
            <w:pPr>
              <w:rPr>
                <w:rFonts w:cs="Arial"/>
                <w:szCs w:val="24"/>
              </w:rPr>
            </w:pPr>
            <w:r w:rsidRPr="00ED5AD0">
              <w:rPr>
                <w:rFonts w:cs="Arial"/>
                <w:szCs w:val="24"/>
              </w:rPr>
              <w:t>Mean rate of pay</w:t>
            </w:r>
          </w:p>
        </w:tc>
        <w:tc>
          <w:tcPr>
            <w:tcW w:w="4961" w:type="dxa"/>
            <w:vAlign w:val="center"/>
          </w:tcPr>
          <w:p w14:paraId="50E81441" w14:textId="0E73772A" w:rsidR="002E24A1" w:rsidRPr="00ED5AD0" w:rsidRDefault="002E24A1" w:rsidP="002E24A1">
            <w:pPr>
              <w:rPr>
                <w:rFonts w:cs="Arial"/>
                <w:szCs w:val="24"/>
              </w:rPr>
            </w:pPr>
            <w:r w:rsidRPr="00ED5AD0">
              <w:rPr>
                <w:rFonts w:cs="Arial"/>
                <w:color w:val="000000"/>
              </w:rPr>
              <w:t>£34,589 p.a. full time rate</w:t>
            </w:r>
          </w:p>
        </w:tc>
      </w:tr>
      <w:tr w:rsidR="002E24A1" w:rsidRPr="00ED5AD0" w14:paraId="50486DD3" w14:textId="77777777" w:rsidTr="006A3971">
        <w:tc>
          <w:tcPr>
            <w:tcW w:w="4143" w:type="dxa"/>
          </w:tcPr>
          <w:p w14:paraId="17FD68B1" w14:textId="2ADC3ECF" w:rsidR="002E24A1" w:rsidRPr="00ED5AD0" w:rsidRDefault="002E24A1" w:rsidP="002E24A1">
            <w:pPr>
              <w:rPr>
                <w:rFonts w:cs="Arial"/>
                <w:szCs w:val="24"/>
              </w:rPr>
            </w:pPr>
            <w:r w:rsidRPr="00ED5AD0">
              <w:rPr>
                <w:rFonts w:cs="Arial"/>
                <w:szCs w:val="24"/>
              </w:rPr>
              <w:t xml:space="preserve">Highest rate of pay </w:t>
            </w:r>
          </w:p>
        </w:tc>
        <w:tc>
          <w:tcPr>
            <w:tcW w:w="4961" w:type="dxa"/>
            <w:vAlign w:val="center"/>
          </w:tcPr>
          <w:p w14:paraId="6FA60CDD" w14:textId="31D86BE3" w:rsidR="002E24A1" w:rsidRPr="00ED5AD0" w:rsidRDefault="002E24A1" w:rsidP="002E24A1">
            <w:pPr>
              <w:rPr>
                <w:rFonts w:cs="Arial"/>
                <w:szCs w:val="24"/>
              </w:rPr>
            </w:pPr>
            <w:r w:rsidRPr="00ED5AD0">
              <w:rPr>
                <w:rFonts w:cs="Arial"/>
                <w:color w:val="000000"/>
              </w:rPr>
              <w:t>£1</w:t>
            </w:r>
            <w:r w:rsidR="00625CFD">
              <w:rPr>
                <w:rFonts w:cs="Arial"/>
                <w:color w:val="000000"/>
              </w:rPr>
              <w:t>30</w:t>
            </w:r>
            <w:r w:rsidRPr="00ED5AD0">
              <w:rPr>
                <w:rFonts w:cs="Arial"/>
                <w:color w:val="000000"/>
              </w:rPr>
              <w:t>,9</w:t>
            </w:r>
            <w:r w:rsidR="00625CFD">
              <w:rPr>
                <w:rFonts w:cs="Arial"/>
                <w:color w:val="000000"/>
              </w:rPr>
              <w:t>65</w:t>
            </w:r>
            <w:r w:rsidRPr="00ED5AD0">
              <w:rPr>
                <w:rFonts w:cs="Arial"/>
                <w:color w:val="000000"/>
              </w:rPr>
              <w:t xml:space="preserve"> p.a. full time rate</w:t>
            </w:r>
          </w:p>
        </w:tc>
      </w:tr>
      <w:tr w:rsidR="002E24A1" w:rsidRPr="00ED5AD0" w14:paraId="73EA3A0C" w14:textId="77777777" w:rsidTr="006A3971">
        <w:tc>
          <w:tcPr>
            <w:tcW w:w="4143" w:type="dxa"/>
          </w:tcPr>
          <w:p w14:paraId="05AA1518" w14:textId="77777777" w:rsidR="002E24A1" w:rsidRPr="00ED5AD0" w:rsidRDefault="002E24A1" w:rsidP="002E24A1">
            <w:pPr>
              <w:rPr>
                <w:rFonts w:cs="Arial"/>
                <w:szCs w:val="24"/>
              </w:rPr>
            </w:pPr>
            <w:r w:rsidRPr="00ED5AD0">
              <w:rPr>
                <w:rFonts w:cs="Arial"/>
                <w:szCs w:val="24"/>
              </w:rPr>
              <w:t>Expression (as a multiple) of highest rate of pay against:</w:t>
            </w:r>
          </w:p>
          <w:p w14:paraId="68F7DA3C" w14:textId="77777777" w:rsidR="002E24A1" w:rsidRPr="00ED5AD0" w:rsidRDefault="002E24A1" w:rsidP="002E24A1">
            <w:pPr>
              <w:rPr>
                <w:rFonts w:cs="Arial"/>
                <w:szCs w:val="24"/>
              </w:rPr>
            </w:pPr>
          </w:p>
          <w:p w14:paraId="077C298F" w14:textId="77777777" w:rsidR="002E24A1" w:rsidRPr="00ED5AD0" w:rsidRDefault="002E24A1" w:rsidP="002E24A1">
            <w:pPr>
              <w:rPr>
                <w:rFonts w:cs="Arial"/>
                <w:szCs w:val="24"/>
              </w:rPr>
            </w:pPr>
            <w:r w:rsidRPr="00ED5AD0">
              <w:rPr>
                <w:rFonts w:cs="Arial"/>
                <w:szCs w:val="24"/>
              </w:rPr>
              <w:t>Lowest pay:</w:t>
            </w:r>
          </w:p>
          <w:p w14:paraId="41530CCB" w14:textId="77777777" w:rsidR="002E24A1" w:rsidRPr="00ED5AD0" w:rsidRDefault="002E24A1" w:rsidP="002E24A1">
            <w:pPr>
              <w:rPr>
                <w:rFonts w:cs="Arial"/>
                <w:szCs w:val="24"/>
              </w:rPr>
            </w:pPr>
            <w:r w:rsidRPr="00ED5AD0">
              <w:rPr>
                <w:rFonts w:cs="Arial"/>
                <w:szCs w:val="24"/>
              </w:rPr>
              <w:t>Median pay:</w:t>
            </w:r>
          </w:p>
          <w:p w14:paraId="2A1EAA47" w14:textId="77777777" w:rsidR="002E24A1" w:rsidRPr="00ED5AD0" w:rsidRDefault="002E24A1" w:rsidP="002E24A1">
            <w:pPr>
              <w:rPr>
                <w:rFonts w:cs="Arial"/>
                <w:szCs w:val="24"/>
              </w:rPr>
            </w:pPr>
            <w:r w:rsidRPr="00ED5AD0">
              <w:rPr>
                <w:rFonts w:cs="Arial"/>
                <w:szCs w:val="24"/>
              </w:rPr>
              <w:t>Mean pay:</w:t>
            </w:r>
          </w:p>
          <w:p w14:paraId="75773A29" w14:textId="77777777" w:rsidR="002E24A1" w:rsidRPr="00ED5AD0" w:rsidRDefault="002E24A1" w:rsidP="002E24A1">
            <w:pPr>
              <w:rPr>
                <w:rFonts w:cs="Arial"/>
                <w:szCs w:val="24"/>
              </w:rPr>
            </w:pPr>
          </w:p>
        </w:tc>
        <w:tc>
          <w:tcPr>
            <w:tcW w:w="4961" w:type="dxa"/>
            <w:vAlign w:val="center"/>
          </w:tcPr>
          <w:p w14:paraId="45171CE9" w14:textId="30C134EB" w:rsidR="002E24A1" w:rsidRPr="00ED5AD0" w:rsidRDefault="002E24A1" w:rsidP="002E24A1">
            <w:pPr>
              <w:rPr>
                <w:rFonts w:cs="Arial"/>
                <w:color w:val="000000"/>
              </w:rPr>
            </w:pPr>
            <w:r w:rsidRPr="00ED5AD0">
              <w:rPr>
                <w:rFonts w:cs="Arial"/>
                <w:color w:val="000000"/>
              </w:rPr>
              <w:t> </w:t>
            </w:r>
          </w:p>
          <w:p w14:paraId="52BC2022" w14:textId="77777777" w:rsidR="00B0605A" w:rsidRPr="00ED5AD0" w:rsidRDefault="00B0605A" w:rsidP="002E24A1">
            <w:pPr>
              <w:rPr>
                <w:rFonts w:cs="Arial"/>
                <w:color w:val="000000"/>
              </w:rPr>
            </w:pPr>
          </w:p>
          <w:p w14:paraId="70FDCB2D" w14:textId="2FEFA025" w:rsidR="002E24A1" w:rsidRPr="00ED5AD0" w:rsidRDefault="002E24A1" w:rsidP="002E24A1">
            <w:pPr>
              <w:rPr>
                <w:rFonts w:cs="Arial"/>
                <w:szCs w:val="24"/>
              </w:rPr>
            </w:pPr>
            <w:r w:rsidRPr="00ED5AD0">
              <w:rPr>
                <w:rFonts w:cs="Arial"/>
                <w:szCs w:val="24"/>
              </w:rPr>
              <w:t>5.</w:t>
            </w:r>
            <w:r w:rsidR="00625CFD">
              <w:rPr>
                <w:rFonts w:cs="Arial"/>
                <w:szCs w:val="24"/>
              </w:rPr>
              <w:t>2</w:t>
            </w:r>
            <w:r w:rsidRPr="00ED5AD0">
              <w:rPr>
                <w:rFonts w:cs="Arial"/>
                <w:szCs w:val="24"/>
              </w:rPr>
              <w:t>8 times greater</w:t>
            </w:r>
          </w:p>
          <w:p w14:paraId="29407624" w14:textId="67A5725B" w:rsidR="002E24A1" w:rsidRPr="00ED5AD0" w:rsidRDefault="002E24A1" w:rsidP="002E24A1">
            <w:pPr>
              <w:rPr>
                <w:rFonts w:cs="Arial"/>
                <w:szCs w:val="24"/>
              </w:rPr>
            </w:pPr>
            <w:r w:rsidRPr="00ED5AD0">
              <w:rPr>
                <w:rFonts w:cs="Arial"/>
                <w:szCs w:val="24"/>
              </w:rPr>
              <w:t>4.</w:t>
            </w:r>
            <w:r w:rsidR="00625CFD">
              <w:rPr>
                <w:rFonts w:cs="Arial"/>
                <w:szCs w:val="24"/>
              </w:rPr>
              <w:t>58</w:t>
            </w:r>
            <w:r w:rsidRPr="00ED5AD0">
              <w:rPr>
                <w:rFonts w:cs="Arial"/>
                <w:szCs w:val="24"/>
              </w:rPr>
              <w:t xml:space="preserve"> times greater</w:t>
            </w:r>
          </w:p>
          <w:p w14:paraId="20583B5E" w14:textId="77EA8458" w:rsidR="002E24A1" w:rsidRPr="00ED5AD0" w:rsidRDefault="002E24A1" w:rsidP="002E24A1">
            <w:pPr>
              <w:rPr>
                <w:rFonts w:cs="Arial"/>
                <w:szCs w:val="24"/>
              </w:rPr>
            </w:pPr>
            <w:r w:rsidRPr="00ED5AD0">
              <w:rPr>
                <w:rFonts w:cs="Arial"/>
                <w:szCs w:val="24"/>
              </w:rPr>
              <w:t>3.7</w:t>
            </w:r>
            <w:r w:rsidR="00625CFD">
              <w:rPr>
                <w:rFonts w:cs="Arial"/>
                <w:szCs w:val="24"/>
              </w:rPr>
              <w:t>7</w:t>
            </w:r>
            <w:r w:rsidRPr="00ED5AD0">
              <w:rPr>
                <w:rFonts w:cs="Arial"/>
                <w:szCs w:val="24"/>
              </w:rPr>
              <w:t xml:space="preserve"> times greater</w:t>
            </w:r>
          </w:p>
        </w:tc>
      </w:tr>
    </w:tbl>
    <w:p w14:paraId="7BC1C156" w14:textId="77777777" w:rsidR="00192D78" w:rsidRPr="00ED5AD0" w:rsidRDefault="00192D78" w:rsidP="00644A98">
      <w:pPr>
        <w:ind w:left="360"/>
        <w:rPr>
          <w:rFonts w:cs="Arial"/>
          <w:szCs w:val="24"/>
        </w:rPr>
      </w:pPr>
    </w:p>
    <w:p w14:paraId="5322FE7F" w14:textId="77777777" w:rsidR="007F5B3F" w:rsidRPr="00ED5AD0" w:rsidRDefault="007F5B3F" w:rsidP="00644A98">
      <w:pPr>
        <w:ind w:left="360"/>
        <w:rPr>
          <w:rFonts w:cs="Arial"/>
          <w:b/>
          <w:szCs w:val="24"/>
        </w:rPr>
      </w:pPr>
    </w:p>
    <w:p w14:paraId="008A2A87" w14:textId="77777777" w:rsidR="007F5B3F" w:rsidRPr="00ED5AD0" w:rsidRDefault="007F5B3F" w:rsidP="00644A98">
      <w:pPr>
        <w:ind w:left="360"/>
        <w:rPr>
          <w:rFonts w:cs="Arial"/>
          <w:b/>
          <w:szCs w:val="24"/>
        </w:rPr>
      </w:pPr>
    </w:p>
    <w:bookmarkEnd w:id="3"/>
    <w:p w14:paraId="4F8E2F18" w14:textId="77777777" w:rsidR="007F5B3F" w:rsidRPr="00ED5AD0" w:rsidRDefault="007F5B3F" w:rsidP="00644A98">
      <w:pPr>
        <w:ind w:left="360"/>
        <w:rPr>
          <w:rFonts w:cs="Arial"/>
          <w:b/>
          <w:szCs w:val="24"/>
        </w:rPr>
      </w:pPr>
    </w:p>
    <w:p w14:paraId="1CB19273" w14:textId="77777777" w:rsidR="007F5B3F" w:rsidRPr="00ED5AD0" w:rsidRDefault="007F5B3F" w:rsidP="00644A98">
      <w:pPr>
        <w:ind w:left="360"/>
        <w:rPr>
          <w:rFonts w:cs="Arial"/>
          <w:b/>
          <w:szCs w:val="24"/>
        </w:rPr>
      </w:pPr>
    </w:p>
    <w:p w14:paraId="634C05D7" w14:textId="77777777" w:rsidR="007F5B3F" w:rsidRPr="00ED5AD0" w:rsidRDefault="007F5B3F" w:rsidP="00644A98">
      <w:pPr>
        <w:ind w:left="360"/>
        <w:rPr>
          <w:rFonts w:cs="Arial"/>
          <w:b/>
          <w:szCs w:val="24"/>
        </w:rPr>
      </w:pPr>
    </w:p>
    <w:p w14:paraId="7688EE8E" w14:textId="77777777" w:rsidR="007F5B3F" w:rsidRPr="00ED5AD0" w:rsidRDefault="007F5B3F" w:rsidP="00644A98">
      <w:pPr>
        <w:ind w:left="360"/>
        <w:rPr>
          <w:rFonts w:cs="Arial"/>
          <w:b/>
          <w:szCs w:val="24"/>
        </w:rPr>
      </w:pPr>
    </w:p>
    <w:p w14:paraId="7E34BB89" w14:textId="77777777" w:rsidR="007F5B3F" w:rsidRPr="00ED5AD0" w:rsidRDefault="007F5B3F" w:rsidP="00644A98">
      <w:pPr>
        <w:ind w:left="360"/>
        <w:rPr>
          <w:rFonts w:cs="Arial"/>
          <w:b/>
          <w:szCs w:val="24"/>
        </w:rPr>
      </w:pPr>
    </w:p>
    <w:p w14:paraId="480B8402" w14:textId="77777777" w:rsidR="00320E77" w:rsidRPr="00ED5AD0" w:rsidRDefault="00320E77" w:rsidP="00472D17">
      <w:pPr>
        <w:rPr>
          <w:rFonts w:cs="Arial"/>
          <w:b/>
          <w:szCs w:val="24"/>
        </w:rPr>
      </w:pPr>
    </w:p>
    <w:p w14:paraId="7CD429B3" w14:textId="77777777" w:rsidR="003846FC" w:rsidRPr="00ED5AD0" w:rsidRDefault="003846FC" w:rsidP="003C05E8">
      <w:pPr>
        <w:ind w:left="142"/>
        <w:rPr>
          <w:rFonts w:cs="Arial"/>
          <w:b/>
          <w:color w:val="000000"/>
          <w:sz w:val="28"/>
          <w:szCs w:val="28"/>
        </w:rPr>
      </w:pPr>
      <w:r w:rsidRPr="00ED5AD0">
        <w:rPr>
          <w:rFonts w:cs="Arial"/>
          <w:b/>
          <w:color w:val="000000"/>
          <w:sz w:val="28"/>
          <w:szCs w:val="28"/>
        </w:rPr>
        <w:lastRenderedPageBreak/>
        <w:t>Job-related information</w:t>
      </w:r>
      <w:r w:rsidR="0008464B" w:rsidRPr="00ED5AD0">
        <w:rPr>
          <w:rFonts w:cs="Arial"/>
          <w:b/>
          <w:color w:val="000000"/>
          <w:sz w:val="28"/>
          <w:szCs w:val="28"/>
        </w:rPr>
        <w:t xml:space="preserve"> for </w:t>
      </w:r>
      <w:r w:rsidR="00222CE1" w:rsidRPr="00ED5AD0">
        <w:rPr>
          <w:rFonts w:cs="Arial"/>
          <w:b/>
          <w:color w:val="000000"/>
          <w:sz w:val="28"/>
          <w:szCs w:val="28"/>
        </w:rPr>
        <w:t>Chief Officer</w:t>
      </w:r>
      <w:r w:rsidR="0008464B" w:rsidRPr="00ED5AD0">
        <w:rPr>
          <w:rFonts w:cs="Arial"/>
          <w:b/>
          <w:color w:val="000000"/>
          <w:sz w:val="28"/>
          <w:szCs w:val="28"/>
        </w:rPr>
        <w:t>s</w:t>
      </w:r>
    </w:p>
    <w:p w14:paraId="7250A439" w14:textId="77777777" w:rsidR="00166139" w:rsidRPr="00ED5AD0" w:rsidRDefault="00166139" w:rsidP="00472D17">
      <w:pPr>
        <w:rPr>
          <w:rFonts w:cs="Arial"/>
          <w:b/>
          <w:color w:val="000000"/>
          <w:szCs w:val="24"/>
        </w:rPr>
      </w:pPr>
    </w:p>
    <w:p w14:paraId="1AB903A3" w14:textId="77777777" w:rsidR="00166139" w:rsidRPr="00ED5AD0" w:rsidRDefault="00166139" w:rsidP="00472D17">
      <w:pPr>
        <w:rPr>
          <w:rFonts w:cs="Arial"/>
          <w:b/>
          <w:szCs w:val="2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985"/>
        <w:gridCol w:w="1559"/>
        <w:gridCol w:w="2154"/>
      </w:tblGrid>
      <w:tr w:rsidR="003260D8" w:rsidRPr="00ED5AD0" w14:paraId="31F47DAA" w14:textId="77777777" w:rsidTr="000658E6">
        <w:tc>
          <w:tcPr>
            <w:tcW w:w="3686" w:type="dxa"/>
          </w:tcPr>
          <w:p w14:paraId="46CD5177" w14:textId="77777777" w:rsidR="003260D8" w:rsidRPr="00ED5AD0" w:rsidRDefault="00CD5CA0" w:rsidP="00CD5CA0">
            <w:pPr>
              <w:rPr>
                <w:rFonts w:cs="Arial"/>
                <w:b/>
                <w:sz w:val="22"/>
                <w:szCs w:val="22"/>
              </w:rPr>
            </w:pPr>
            <w:r w:rsidRPr="00ED5AD0">
              <w:rPr>
                <w:rFonts w:cs="Arial"/>
                <w:b/>
                <w:sz w:val="22"/>
                <w:szCs w:val="22"/>
              </w:rPr>
              <w:t>Job Title of Senior posts</w:t>
            </w:r>
            <w:r w:rsidR="003260D8" w:rsidRPr="00ED5AD0">
              <w:rPr>
                <w:rFonts w:cs="Arial"/>
                <w:sz w:val="18"/>
                <w:szCs w:val="18"/>
                <w:vertAlign w:val="subscript"/>
              </w:rPr>
              <w:t>1</w:t>
            </w:r>
            <w:r w:rsidR="003260D8" w:rsidRPr="00ED5AD0">
              <w:rPr>
                <w:rFonts w:cs="Arial"/>
                <w:b/>
                <w:sz w:val="22"/>
                <w:szCs w:val="22"/>
              </w:rPr>
              <w:t xml:space="preserve"> </w:t>
            </w:r>
          </w:p>
        </w:tc>
        <w:tc>
          <w:tcPr>
            <w:tcW w:w="1985" w:type="dxa"/>
          </w:tcPr>
          <w:p w14:paraId="4DBB267C" w14:textId="77777777" w:rsidR="003260D8" w:rsidRPr="00ED5AD0" w:rsidRDefault="003260D8" w:rsidP="007B5152">
            <w:pPr>
              <w:rPr>
                <w:rFonts w:cs="Arial"/>
                <w:b/>
                <w:sz w:val="20"/>
              </w:rPr>
            </w:pPr>
            <w:r w:rsidRPr="00ED5AD0">
              <w:rPr>
                <w:rFonts w:cs="Arial"/>
                <w:b/>
                <w:sz w:val="20"/>
              </w:rPr>
              <w:t>Substantive post- Salary Band p.a. (pay pts in scale)</w:t>
            </w:r>
          </w:p>
          <w:p w14:paraId="360EE46A" w14:textId="77777777" w:rsidR="00E934FD" w:rsidRDefault="00B71B6D" w:rsidP="007B5152">
            <w:pPr>
              <w:rPr>
                <w:rFonts w:cs="Arial"/>
                <w:sz w:val="20"/>
              </w:rPr>
            </w:pPr>
            <w:r w:rsidRPr="00ED5AD0">
              <w:rPr>
                <w:rFonts w:cs="Arial"/>
                <w:sz w:val="20"/>
              </w:rPr>
              <w:t>Incl.</w:t>
            </w:r>
            <w:r w:rsidR="00E934FD" w:rsidRPr="00ED5AD0">
              <w:rPr>
                <w:rFonts w:cs="Arial"/>
                <w:sz w:val="20"/>
              </w:rPr>
              <w:t>202</w:t>
            </w:r>
            <w:r w:rsidRPr="00ED5AD0">
              <w:rPr>
                <w:rFonts w:cs="Arial"/>
                <w:sz w:val="20"/>
              </w:rPr>
              <w:t>4</w:t>
            </w:r>
            <w:r w:rsidR="00E934FD" w:rsidRPr="00ED5AD0">
              <w:rPr>
                <w:rFonts w:cs="Arial"/>
                <w:sz w:val="20"/>
              </w:rPr>
              <w:t>/2</w:t>
            </w:r>
            <w:r w:rsidRPr="00ED5AD0">
              <w:rPr>
                <w:rFonts w:cs="Arial"/>
                <w:sz w:val="20"/>
              </w:rPr>
              <w:t>5</w:t>
            </w:r>
            <w:r w:rsidR="00E934FD" w:rsidRPr="00ED5AD0">
              <w:rPr>
                <w:rFonts w:cs="Arial"/>
                <w:sz w:val="20"/>
              </w:rPr>
              <w:t xml:space="preserve"> pay award </w:t>
            </w:r>
          </w:p>
          <w:p w14:paraId="1FC03E3D" w14:textId="1BB5DABF" w:rsidR="007C167E" w:rsidRPr="00ED5AD0" w:rsidRDefault="007C167E" w:rsidP="007B5152">
            <w:pPr>
              <w:rPr>
                <w:rFonts w:cs="Arial"/>
                <w:sz w:val="20"/>
              </w:rPr>
            </w:pPr>
            <w:r>
              <w:rPr>
                <w:rFonts w:cs="Arial"/>
                <w:sz w:val="20"/>
              </w:rPr>
              <w:t>Progression is performance related for all posts</w:t>
            </w:r>
          </w:p>
        </w:tc>
        <w:tc>
          <w:tcPr>
            <w:tcW w:w="1559" w:type="dxa"/>
          </w:tcPr>
          <w:p w14:paraId="2D205FCF" w14:textId="77777777" w:rsidR="003260D8" w:rsidRPr="00ED5AD0" w:rsidRDefault="003260D8" w:rsidP="00DE2938">
            <w:pPr>
              <w:rPr>
                <w:rFonts w:cs="Arial"/>
                <w:b/>
                <w:sz w:val="20"/>
              </w:rPr>
            </w:pPr>
            <w:r w:rsidRPr="00ED5AD0">
              <w:rPr>
                <w:rFonts w:cs="Arial"/>
                <w:b/>
                <w:sz w:val="20"/>
              </w:rPr>
              <w:t>Enhancement to basic pay or Addition to basic pay (not related to main job)</w:t>
            </w:r>
          </w:p>
        </w:tc>
        <w:tc>
          <w:tcPr>
            <w:tcW w:w="2154" w:type="dxa"/>
          </w:tcPr>
          <w:p w14:paraId="4E086423" w14:textId="77777777" w:rsidR="003260D8" w:rsidRPr="00ED5AD0" w:rsidRDefault="003260D8" w:rsidP="00F57172">
            <w:pPr>
              <w:rPr>
                <w:rFonts w:cs="Arial"/>
                <w:sz w:val="20"/>
              </w:rPr>
            </w:pPr>
            <w:proofErr w:type="gramStart"/>
            <w:r w:rsidRPr="00ED5AD0">
              <w:rPr>
                <w:rFonts w:cs="Arial"/>
                <w:b/>
                <w:sz w:val="20"/>
              </w:rPr>
              <w:t xml:space="preserve">For </w:t>
            </w:r>
            <w:r w:rsidR="00CD5CA0" w:rsidRPr="00ED5AD0">
              <w:rPr>
                <w:rFonts w:cs="Arial"/>
                <w:b/>
                <w:sz w:val="20"/>
              </w:rPr>
              <w:t xml:space="preserve"> </w:t>
            </w:r>
            <w:r w:rsidRPr="00ED5AD0">
              <w:rPr>
                <w:rFonts w:cs="Arial"/>
                <w:b/>
                <w:sz w:val="20"/>
              </w:rPr>
              <w:t>Senior</w:t>
            </w:r>
            <w:proofErr w:type="gramEnd"/>
            <w:r w:rsidRPr="00ED5AD0">
              <w:rPr>
                <w:rFonts w:cs="Arial"/>
                <w:b/>
                <w:sz w:val="20"/>
              </w:rPr>
              <w:t xml:space="preserve"> Posts</w:t>
            </w:r>
            <w:r w:rsidRPr="00ED5AD0">
              <w:rPr>
                <w:rFonts w:cs="Arial"/>
                <w:sz w:val="20"/>
              </w:rPr>
              <w:t xml:space="preserve"> :</w:t>
            </w:r>
          </w:p>
          <w:p w14:paraId="32F667AF" w14:textId="77777777" w:rsidR="003260D8" w:rsidRPr="00ED5AD0" w:rsidRDefault="003260D8" w:rsidP="003A1514">
            <w:pPr>
              <w:rPr>
                <w:rFonts w:cs="Arial"/>
                <w:b/>
                <w:sz w:val="20"/>
              </w:rPr>
            </w:pPr>
            <w:r w:rsidRPr="00ED5AD0">
              <w:rPr>
                <w:rFonts w:cs="Arial"/>
                <w:b/>
                <w:sz w:val="20"/>
              </w:rPr>
              <w:t xml:space="preserve">Number of staff reports </w:t>
            </w:r>
            <w:proofErr w:type="gramStart"/>
            <w:r w:rsidRPr="00ED5AD0">
              <w:rPr>
                <w:rFonts w:cs="Arial"/>
                <w:b/>
                <w:sz w:val="20"/>
              </w:rPr>
              <w:t>&amp;  total</w:t>
            </w:r>
            <w:proofErr w:type="gramEnd"/>
            <w:r w:rsidRPr="00ED5AD0">
              <w:rPr>
                <w:rFonts w:cs="Arial"/>
                <w:b/>
                <w:sz w:val="20"/>
              </w:rPr>
              <w:t xml:space="preserve"> budget</w:t>
            </w:r>
            <w:r w:rsidR="00166139" w:rsidRPr="00ED5AD0">
              <w:rPr>
                <w:rFonts w:cs="Arial"/>
                <w:b/>
                <w:sz w:val="20"/>
                <w:vertAlign w:val="subscript"/>
              </w:rPr>
              <w:t>2</w:t>
            </w:r>
            <w:r w:rsidRPr="00ED5AD0">
              <w:rPr>
                <w:rFonts w:cs="Arial"/>
                <w:b/>
                <w:sz w:val="20"/>
                <w:vertAlign w:val="subscript"/>
              </w:rPr>
              <w:t xml:space="preserve"> </w:t>
            </w:r>
          </w:p>
        </w:tc>
      </w:tr>
      <w:tr w:rsidR="003260D8" w:rsidRPr="00ED5AD0" w14:paraId="1658A980" w14:textId="77777777" w:rsidTr="000658E6">
        <w:tc>
          <w:tcPr>
            <w:tcW w:w="3686" w:type="dxa"/>
          </w:tcPr>
          <w:p w14:paraId="0B85BB7A" w14:textId="4226EF98" w:rsidR="003260D8" w:rsidRPr="00ED5AD0" w:rsidRDefault="003260D8" w:rsidP="00644A98">
            <w:pPr>
              <w:rPr>
                <w:rFonts w:cs="Arial"/>
                <w:b/>
                <w:sz w:val="22"/>
                <w:szCs w:val="22"/>
              </w:rPr>
            </w:pPr>
            <w:r w:rsidRPr="00ED5AD0">
              <w:rPr>
                <w:rFonts w:cs="Arial"/>
                <w:b/>
                <w:sz w:val="22"/>
                <w:szCs w:val="22"/>
              </w:rPr>
              <w:t>Chief Executive</w:t>
            </w:r>
          </w:p>
          <w:p w14:paraId="2475ED32" w14:textId="77777777" w:rsidR="003260D8" w:rsidRPr="00ED5AD0" w:rsidRDefault="003260D8" w:rsidP="007F1373">
            <w:pPr>
              <w:rPr>
                <w:rFonts w:cs="Arial"/>
                <w:sz w:val="22"/>
                <w:szCs w:val="22"/>
              </w:rPr>
            </w:pPr>
          </w:p>
        </w:tc>
        <w:tc>
          <w:tcPr>
            <w:tcW w:w="1985" w:type="dxa"/>
          </w:tcPr>
          <w:p w14:paraId="5B1961A4" w14:textId="2AC9B9DB" w:rsidR="00B91938" w:rsidRPr="00ED5AD0" w:rsidRDefault="00B91938" w:rsidP="00685EB2">
            <w:pPr>
              <w:rPr>
                <w:sz w:val="22"/>
                <w:szCs w:val="22"/>
              </w:rPr>
            </w:pPr>
          </w:p>
          <w:p w14:paraId="036369DB" w14:textId="49D3D6DD" w:rsidR="007B0AD2" w:rsidRPr="00ED5AD0" w:rsidRDefault="007B0AD2" w:rsidP="00685EB2">
            <w:pPr>
              <w:rPr>
                <w:sz w:val="22"/>
                <w:szCs w:val="22"/>
              </w:rPr>
            </w:pPr>
            <w:r w:rsidRPr="00ED5AD0">
              <w:rPr>
                <w:sz w:val="22"/>
                <w:szCs w:val="22"/>
              </w:rPr>
              <w:t>£12</w:t>
            </w:r>
            <w:r w:rsidR="00F406D5" w:rsidRPr="00ED5AD0">
              <w:rPr>
                <w:sz w:val="22"/>
                <w:szCs w:val="22"/>
              </w:rPr>
              <w:t>6,</w:t>
            </w:r>
            <w:r w:rsidR="00B41B21">
              <w:rPr>
                <w:sz w:val="22"/>
                <w:szCs w:val="22"/>
              </w:rPr>
              <w:t>361</w:t>
            </w:r>
            <w:r w:rsidRPr="00ED5AD0">
              <w:rPr>
                <w:sz w:val="22"/>
                <w:szCs w:val="22"/>
              </w:rPr>
              <w:t xml:space="preserve"> -</w:t>
            </w:r>
          </w:p>
          <w:p w14:paraId="77C3BF8B" w14:textId="5EE6B3CD" w:rsidR="003260D8" w:rsidRDefault="003260D8" w:rsidP="00B37F33">
            <w:pPr>
              <w:rPr>
                <w:sz w:val="22"/>
                <w:szCs w:val="22"/>
              </w:rPr>
            </w:pPr>
            <w:r w:rsidRPr="00ED5AD0">
              <w:rPr>
                <w:sz w:val="22"/>
                <w:szCs w:val="22"/>
              </w:rPr>
              <w:t>£1</w:t>
            </w:r>
            <w:r w:rsidR="0031199F" w:rsidRPr="00ED5AD0">
              <w:rPr>
                <w:sz w:val="22"/>
                <w:szCs w:val="22"/>
              </w:rPr>
              <w:t>2</w:t>
            </w:r>
            <w:r w:rsidR="00F406D5" w:rsidRPr="00ED5AD0">
              <w:rPr>
                <w:sz w:val="22"/>
                <w:szCs w:val="22"/>
              </w:rPr>
              <w:t>8,</w:t>
            </w:r>
            <w:r w:rsidR="00B41B21">
              <w:rPr>
                <w:sz w:val="22"/>
                <w:szCs w:val="22"/>
              </w:rPr>
              <w:t>663</w:t>
            </w:r>
          </w:p>
          <w:p w14:paraId="2991E293" w14:textId="4BF718E8" w:rsidR="006B63C1" w:rsidRPr="00ED5AD0" w:rsidRDefault="006B63C1" w:rsidP="00B37F33">
            <w:pPr>
              <w:rPr>
                <w:sz w:val="22"/>
                <w:szCs w:val="22"/>
              </w:rPr>
            </w:pPr>
            <w:r>
              <w:rPr>
                <w:sz w:val="22"/>
                <w:szCs w:val="22"/>
              </w:rPr>
              <w:t>£130,965</w:t>
            </w:r>
          </w:p>
          <w:p w14:paraId="2B983813" w14:textId="538C9F4E" w:rsidR="00021C22" w:rsidRPr="00ED5AD0" w:rsidRDefault="00021C22" w:rsidP="00B37F33">
            <w:pPr>
              <w:rPr>
                <w:sz w:val="20"/>
              </w:rPr>
            </w:pPr>
          </w:p>
        </w:tc>
        <w:tc>
          <w:tcPr>
            <w:tcW w:w="1559" w:type="dxa"/>
          </w:tcPr>
          <w:p w14:paraId="5031415F" w14:textId="77777777" w:rsidR="00CF20EC" w:rsidRDefault="00CF20EC" w:rsidP="00DE2938">
            <w:pPr>
              <w:rPr>
                <w:rFonts w:cs="Arial"/>
                <w:szCs w:val="24"/>
              </w:rPr>
            </w:pPr>
          </w:p>
          <w:p w14:paraId="09ABFF0E" w14:textId="55CDB8A4" w:rsidR="003260D8" w:rsidRPr="00ED5AD0" w:rsidRDefault="003260D8" w:rsidP="00DE2938">
            <w:pPr>
              <w:rPr>
                <w:rFonts w:cs="Arial"/>
                <w:szCs w:val="24"/>
              </w:rPr>
            </w:pPr>
            <w:r w:rsidRPr="00ED5AD0">
              <w:rPr>
                <w:rFonts w:cs="Arial"/>
                <w:szCs w:val="24"/>
              </w:rPr>
              <w:t xml:space="preserve">Yes- </w:t>
            </w:r>
            <w:r w:rsidRPr="00ED5AD0">
              <w:rPr>
                <w:rFonts w:cs="Arial"/>
                <w:sz w:val="20"/>
              </w:rPr>
              <w:t>Election fees</w:t>
            </w:r>
          </w:p>
        </w:tc>
        <w:tc>
          <w:tcPr>
            <w:tcW w:w="2154" w:type="dxa"/>
          </w:tcPr>
          <w:p w14:paraId="266480DF" w14:textId="5FBD5709" w:rsidR="003260D8" w:rsidRPr="00ED5AD0" w:rsidRDefault="00EE1D64" w:rsidP="002D402D">
            <w:pPr>
              <w:rPr>
                <w:rFonts w:cs="Arial"/>
                <w:color w:val="000000"/>
                <w:sz w:val="22"/>
                <w:szCs w:val="22"/>
              </w:rPr>
            </w:pPr>
            <w:r w:rsidRPr="00ED5AD0">
              <w:rPr>
                <w:rFonts w:cs="Arial"/>
                <w:color w:val="000000"/>
                <w:sz w:val="22"/>
                <w:szCs w:val="22"/>
              </w:rPr>
              <w:t xml:space="preserve"> 5</w:t>
            </w:r>
            <w:r w:rsidR="003260D8" w:rsidRPr="00ED5AD0">
              <w:rPr>
                <w:rFonts w:cs="Arial"/>
                <w:color w:val="000000"/>
                <w:sz w:val="22"/>
                <w:szCs w:val="22"/>
              </w:rPr>
              <w:t xml:space="preserve"> staff</w:t>
            </w:r>
          </w:p>
          <w:p w14:paraId="78B0BB1B" w14:textId="4CAACC89" w:rsidR="003260D8" w:rsidRPr="00ED5AD0" w:rsidRDefault="003260D8" w:rsidP="002D402D">
            <w:pPr>
              <w:rPr>
                <w:rFonts w:cs="Arial"/>
                <w:color w:val="000000"/>
                <w:sz w:val="22"/>
                <w:szCs w:val="22"/>
              </w:rPr>
            </w:pPr>
            <w:r w:rsidRPr="00ED5AD0">
              <w:rPr>
                <w:rFonts w:cs="Arial"/>
                <w:color w:val="000000"/>
                <w:sz w:val="22"/>
                <w:szCs w:val="22"/>
              </w:rPr>
              <w:t>(</w:t>
            </w:r>
            <w:r w:rsidR="008F111A" w:rsidRPr="00ED5AD0">
              <w:rPr>
                <w:rFonts w:cs="Arial"/>
                <w:color w:val="000000"/>
                <w:sz w:val="22"/>
                <w:szCs w:val="22"/>
              </w:rPr>
              <w:t>4</w:t>
            </w:r>
            <w:r w:rsidR="00026DB9" w:rsidRPr="00ED5AD0">
              <w:rPr>
                <w:rFonts w:cs="Arial"/>
                <w:color w:val="000000"/>
                <w:sz w:val="22"/>
                <w:szCs w:val="22"/>
              </w:rPr>
              <w:t>4</w:t>
            </w:r>
            <w:r w:rsidR="007B0AD2" w:rsidRPr="00ED5AD0">
              <w:rPr>
                <w:rFonts w:cs="Arial"/>
                <w:color w:val="000000"/>
                <w:sz w:val="22"/>
                <w:szCs w:val="22"/>
              </w:rPr>
              <w:t>8</w:t>
            </w:r>
            <w:r w:rsidR="008F111A" w:rsidRPr="00ED5AD0">
              <w:rPr>
                <w:rFonts w:cs="Arial"/>
                <w:color w:val="000000"/>
                <w:sz w:val="22"/>
                <w:szCs w:val="22"/>
              </w:rPr>
              <w:t xml:space="preserve"> </w:t>
            </w:r>
            <w:r w:rsidRPr="00ED5AD0">
              <w:rPr>
                <w:rFonts w:cs="Arial"/>
                <w:color w:val="000000"/>
                <w:sz w:val="22"/>
                <w:szCs w:val="22"/>
              </w:rPr>
              <w:t>total)</w:t>
            </w:r>
          </w:p>
          <w:p w14:paraId="2F0701AE" w14:textId="77777777" w:rsidR="001C7D85" w:rsidRPr="00ED5AD0" w:rsidRDefault="001C7D85" w:rsidP="00C57E43">
            <w:pPr>
              <w:rPr>
                <w:rFonts w:cs="Arial"/>
                <w:color w:val="000000"/>
                <w:sz w:val="22"/>
                <w:szCs w:val="22"/>
              </w:rPr>
            </w:pPr>
          </w:p>
          <w:p w14:paraId="3AD84841" w14:textId="47954EB4" w:rsidR="003260D8" w:rsidRPr="00ED5AD0" w:rsidRDefault="001C7D85" w:rsidP="003A1514">
            <w:pPr>
              <w:rPr>
                <w:rFonts w:cs="Arial"/>
                <w:color w:val="000000"/>
                <w:sz w:val="22"/>
                <w:szCs w:val="22"/>
              </w:rPr>
            </w:pPr>
            <w:r w:rsidRPr="00ED5AD0">
              <w:rPr>
                <w:rFonts w:cs="Arial"/>
                <w:color w:val="000000"/>
                <w:sz w:val="22"/>
                <w:szCs w:val="22"/>
              </w:rPr>
              <w:t>Total budget (</w:t>
            </w:r>
            <w:r w:rsidR="00FE5D08" w:rsidRPr="00ED5AD0">
              <w:rPr>
                <w:rFonts w:cs="Arial"/>
                <w:color w:val="000000"/>
                <w:sz w:val="22"/>
                <w:szCs w:val="22"/>
              </w:rPr>
              <w:t>2</w:t>
            </w:r>
            <w:r w:rsidR="005E55BF" w:rsidRPr="00ED5AD0">
              <w:rPr>
                <w:rFonts w:cs="Arial"/>
                <w:color w:val="000000"/>
                <w:sz w:val="22"/>
                <w:szCs w:val="22"/>
              </w:rPr>
              <w:t>4/25</w:t>
            </w:r>
            <w:r w:rsidRPr="00ED5AD0">
              <w:rPr>
                <w:rFonts w:cs="Arial"/>
                <w:color w:val="000000"/>
                <w:sz w:val="22"/>
                <w:szCs w:val="22"/>
              </w:rPr>
              <w:t xml:space="preserve">) </w:t>
            </w:r>
            <w:r w:rsidR="003260D8" w:rsidRPr="00ED5AD0">
              <w:rPr>
                <w:rFonts w:cs="Arial"/>
                <w:color w:val="000000"/>
                <w:sz w:val="22"/>
                <w:szCs w:val="22"/>
              </w:rPr>
              <w:t>£</w:t>
            </w:r>
            <w:r w:rsidR="00026DB9" w:rsidRPr="00ED5AD0">
              <w:rPr>
                <w:rFonts w:cs="Arial"/>
                <w:color w:val="000000"/>
                <w:sz w:val="22"/>
                <w:szCs w:val="22"/>
              </w:rPr>
              <w:t>612,000</w:t>
            </w:r>
          </w:p>
        </w:tc>
      </w:tr>
      <w:tr w:rsidR="005E55BF" w:rsidRPr="00ED5AD0" w14:paraId="3A8FCF9C" w14:textId="77777777" w:rsidTr="000658E6">
        <w:tc>
          <w:tcPr>
            <w:tcW w:w="3686" w:type="dxa"/>
          </w:tcPr>
          <w:p w14:paraId="7A1C79CA" w14:textId="4DE0274B" w:rsidR="005E55BF" w:rsidRPr="00ED5AD0" w:rsidRDefault="005E55BF" w:rsidP="00644A98">
            <w:pPr>
              <w:rPr>
                <w:rFonts w:cs="Arial"/>
                <w:b/>
                <w:sz w:val="22"/>
                <w:szCs w:val="22"/>
              </w:rPr>
            </w:pPr>
            <w:r w:rsidRPr="00ED5AD0">
              <w:rPr>
                <w:rFonts w:cs="Arial"/>
                <w:b/>
                <w:sz w:val="22"/>
                <w:szCs w:val="22"/>
              </w:rPr>
              <w:t xml:space="preserve">Deputy Chief Executive &amp; Monitoring Officer </w:t>
            </w:r>
          </w:p>
        </w:tc>
        <w:tc>
          <w:tcPr>
            <w:tcW w:w="1985" w:type="dxa"/>
          </w:tcPr>
          <w:p w14:paraId="29B7B0E7" w14:textId="77777777" w:rsidR="005E55BF" w:rsidRPr="00ED5AD0" w:rsidRDefault="005E55BF" w:rsidP="00BD19E4">
            <w:pPr>
              <w:ind w:left="175"/>
              <w:rPr>
                <w:rFonts w:cs="Arial"/>
                <w:color w:val="000000"/>
                <w:sz w:val="22"/>
                <w:szCs w:val="22"/>
              </w:rPr>
            </w:pPr>
          </w:p>
          <w:p w14:paraId="4374074A" w14:textId="52B9127F" w:rsidR="005E55BF" w:rsidRPr="00ED5AD0" w:rsidRDefault="00026DB9" w:rsidP="00026DB9">
            <w:pPr>
              <w:rPr>
                <w:rFonts w:cs="Arial"/>
                <w:color w:val="000000"/>
                <w:sz w:val="22"/>
                <w:szCs w:val="22"/>
              </w:rPr>
            </w:pPr>
            <w:r w:rsidRPr="00ED5AD0">
              <w:rPr>
                <w:rFonts w:cs="Arial"/>
                <w:color w:val="000000"/>
                <w:sz w:val="22"/>
                <w:szCs w:val="22"/>
              </w:rPr>
              <w:t>£94,470</w:t>
            </w:r>
          </w:p>
          <w:p w14:paraId="6057394D" w14:textId="53B0CD72" w:rsidR="00026DB9" w:rsidRPr="00ED5AD0" w:rsidRDefault="00026DB9" w:rsidP="00026DB9">
            <w:pPr>
              <w:rPr>
                <w:rFonts w:cs="Arial"/>
                <w:color w:val="000000"/>
                <w:sz w:val="22"/>
                <w:szCs w:val="22"/>
              </w:rPr>
            </w:pPr>
            <w:r w:rsidRPr="00ED5AD0">
              <w:rPr>
                <w:rFonts w:cs="Arial"/>
                <w:color w:val="000000"/>
                <w:sz w:val="22"/>
                <w:szCs w:val="22"/>
              </w:rPr>
              <w:t>£97,098</w:t>
            </w:r>
          </w:p>
          <w:p w14:paraId="31793B56" w14:textId="254B5AE7" w:rsidR="00026DB9" w:rsidRPr="00ED5AD0" w:rsidRDefault="00026DB9" w:rsidP="00026DB9">
            <w:pPr>
              <w:rPr>
                <w:rFonts w:cs="Arial"/>
                <w:color w:val="000000"/>
                <w:sz w:val="20"/>
              </w:rPr>
            </w:pPr>
            <w:r w:rsidRPr="00ED5AD0">
              <w:rPr>
                <w:rFonts w:cs="Arial"/>
                <w:color w:val="000000"/>
                <w:sz w:val="22"/>
                <w:szCs w:val="22"/>
              </w:rPr>
              <w:t>£101,060</w:t>
            </w:r>
          </w:p>
        </w:tc>
        <w:tc>
          <w:tcPr>
            <w:tcW w:w="1559" w:type="dxa"/>
          </w:tcPr>
          <w:p w14:paraId="66873F12" w14:textId="77777777" w:rsidR="005E55BF" w:rsidRDefault="005E55BF" w:rsidP="0008464B">
            <w:pPr>
              <w:rPr>
                <w:rFonts w:cs="Arial"/>
                <w:szCs w:val="24"/>
              </w:rPr>
            </w:pPr>
          </w:p>
          <w:p w14:paraId="12E6287D" w14:textId="2156007F" w:rsidR="00667C57" w:rsidRPr="00ED5AD0" w:rsidRDefault="00667C57" w:rsidP="0008464B">
            <w:pPr>
              <w:rPr>
                <w:rFonts w:cs="Arial"/>
                <w:szCs w:val="24"/>
              </w:rPr>
            </w:pPr>
            <w:r>
              <w:rPr>
                <w:rFonts w:cs="Arial"/>
                <w:szCs w:val="24"/>
              </w:rPr>
              <w:t>No</w:t>
            </w:r>
          </w:p>
        </w:tc>
        <w:tc>
          <w:tcPr>
            <w:tcW w:w="2154" w:type="dxa"/>
          </w:tcPr>
          <w:p w14:paraId="656539EE" w14:textId="77777777" w:rsidR="00DA6228" w:rsidRPr="00ED5AD0" w:rsidRDefault="00026DB9" w:rsidP="005E55BF">
            <w:pPr>
              <w:rPr>
                <w:rFonts w:cs="Arial"/>
                <w:color w:val="000000"/>
                <w:sz w:val="22"/>
                <w:szCs w:val="22"/>
              </w:rPr>
            </w:pPr>
            <w:r w:rsidRPr="00ED5AD0">
              <w:rPr>
                <w:rFonts w:cs="Arial"/>
                <w:color w:val="000000"/>
                <w:sz w:val="22"/>
                <w:szCs w:val="22"/>
              </w:rPr>
              <w:t>16 staff</w:t>
            </w:r>
          </w:p>
          <w:p w14:paraId="0FA81C16" w14:textId="77777777" w:rsidR="00026DB9" w:rsidRPr="00ED5AD0" w:rsidRDefault="00026DB9" w:rsidP="005E55BF">
            <w:pPr>
              <w:rPr>
                <w:rFonts w:cs="Arial"/>
                <w:color w:val="000000"/>
                <w:sz w:val="22"/>
                <w:szCs w:val="22"/>
              </w:rPr>
            </w:pPr>
          </w:p>
          <w:p w14:paraId="13871D70" w14:textId="77777777" w:rsidR="00026DB9" w:rsidRPr="00ED5AD0" w:rsidRDefault="00026DB9" w:rsidP="005E55BF">
            <w:pPr>
              <w:rPr>
                <w:rFonts w:cs="Arial"/>
                <w:color w:val="000000"/>
                <w:sz w:val="22"/>
                <w:szCs w:val="22"/>
              </w:rPr>
            </w:pPr>
            <w:r w:rsidRPr="00ED5AD0">
              <w:rPr>
                <w:rFonts w:cs="Arial"/>
                <w:color w:val="000000"/>
                <w:sz w:val="22"/>
                <w:szCs w:val="22"/>
              </w:rPr>
              <w:t>Total budget</w:t>
            </w:r>
          </w:p>
          <w:p w14:paraId="7317016C" w14:textId="77777777" w:rsidR="00026DB9" w:rsidRPr="00ED5AD0" w:rsidRDefault="00026DB9" w:rsidP="005E55BF">
            <w:pPr>
              <w:rPr>
                <w:rFonts w:cs="Arial"/>
                <w:color w:val="000000"/>
                <w:sz w:val="22"/>
                <w:szCs w:val="22"/>
              </w:rPr>
            </w:pPr>
            <w:r w:rsidRPr="00ED5AD0">
              <w:rPr>
                <w:rFonts w:cs="Arial"/>
                <w:color w:val="000000"/>
                <w:sz w:val="22"/>
                <w:szCs w:val="22"/>
              </w:rPr>
              <w:t>(24/25)</w:t>
            </w:r>
          </w:p>
          <w:p w14:paraId="22ABF983" w14:textId="2B57EF85" w:rsidR="00026DB9" w:rsidRPr="00ED5AD0" w:rsidRDefault="00026DB9" w:rsidP="005E55BF">
            <w:pPr>
              <w:rPr>
                <w:rFonts w:cs="Arial"/>
                <w:color w:val="000000"/>
                <w:sz w:val="22"/>
                <w:szCs w:val="22"/>
              </w:rPr>
            </w:pPr>
            <w:r w:rsidRPr="00ED5AD0">
              <w:rPr>
                <w:rFonts w:cs="Arial"/>
                <w:color w:val="000000"/>
                <w:sz w:val="22"/>
                <w:szCs w:val="22"/>
              </w:rPr>
              <w:t>£604,400</w:t>
            </w:r>
          </w:p>
        </w:tc>
      </w:tr>
      <w:tr w:rsidR="003260D8" w:rsidRPr="00ED5AD0" w14:paraId="25DBF61E" w14:textId="77777777" w:rsidTr="000658E6">
        <w:tc>
          <w:tcPr>
            <w:tcW w:w="3686" w:type="dxa"/>
          </w:tcPr>
          <w:p w14:paraId="626B5CB4" w14:textId="78A582BF" w:rsidR="003260D8" w:rsidRPr="00ED5AD0" w:rsidRDefault="005103EB" w:rsidP="00644A98">
            <w:pPr>
              <w:rPr>
                <w:rFonts w:cs="Arial"/>
                <w:b/>
                <w:sz w:val="22"/>
                <w:szCs w:val="22"/>
              </w:rPr>
            </w:pPr>
            <w:r w:rsidRPr="00ED5AD0">
              <w:rPr>
                <w:rFonts w:cs="Arial"/>
                <w:b/>
                <w:sz w:val="22"/>
                <w:szCs w:val="22"/>
              </w:rPr>
              <w:t>Director</w:t>
            </w:r>
            <w:r w:rsidR="003260D8" w:rsidRPr="00ED5AD0">
              <w:rPr>
                <w:rFonts w:cs="Arial"/>
                <w:b/>
                <w:sz w:val="22"/>
                <w:szCs w:val="22"/>
              </w:rPr>
              <w:t>s</w:t>
            </w:r>
          </w:p>
          <w:p w14:paraId="61F13454" w14:textId="77777777" w:rsidR="003C04F4" w:rsidRPr="00ED5AD0" w:rsidRDefault="003C04F4" w:rsidP="008E0677">
            <w:pPr>
              <w:ind w:left="176"/>
              <w:rPr>
                <w:rFonts w:cs="Arial"/>
                <w:sz w:val="22"/>
                <w:szCs w:val="22"/>
              </w:rPr>
            </w:pPr>
          </w:p>
          <w:p w14:paraId="71EBCFCE" w14:textId="4C0FF688" w:rsidR="00ED3C00" w:rsidRPr="00ED5AD0" w:rsidRDefault="005E55BF" w:rsidP="005E55BF">
            <w:pPr>
              <w:rPr>
                <w:rFonts w:cs="Arial"/>
                <w:sz w:val="22"/>
              </w:rPr>
            </w:pPr>
            <w:proofErr w:type="spellStart"/>
            <w:r w:rsidRPr="00ED5AD0">
              <w:rPr>
                <w:rFonts w:cs="Arial"/>
                <w:sz w:val="22"/>
              </w:rPr>
              <w:t>i</w:t>
            </w:r>
            <w:proofErr w:type="spellEnd"/>
            <w:r w:rsidRPr="00ED5AD0">
              <w:rPr>
                <w:rFonts w:cs="Arial"/>
                <w:sz w:val="22"/>
              </w:rPr>
              <w:t>)Director of Place</w:t>
            </w:r>
          </w:p>
          <w:p w14:paraId="7EB346D1" w14:textId="77777777" w:rsidR="005E55BF" w:rsidRPr="00ED5AD0" w:rsidRDefault="005E55BF" w:rsidP="005E55BF">
            <w:pPr>
              <w:rPr>
                <w:rFonts w:cs="Arial"/>
                <w:sz w:val="22"/>
              </w:rPr>
            </w:pPr>
          </w:p>
          <w:p w14:paraId="58295F17" w14:textId="77777777" w:rsidR="00DA6228" w:rsidRPr="00ED5AD0" w:rsidRDefault="00DA6228" w:rsidP="005E55BF">
            <w:pPr>
              <w:rPr>
                <w:rFonts w:cs="Arial"/>
                <w:sz w:val="22"/>
              </w:rPr>
            </w:pPr>
          </w:p>
          <w:p w14:paraId="03CED5D6" w14:textId="77777777" w:rsidR="00DA6228" w:rsidRPr="00ED5AD0" w:rsidRDefault="00DA6228" w:rsidP="005E55BF">
            <w:pPr>
              <w:rPr>
                <w:rFonts w:cs="Arial"/>
                <w:sz w:val="22"/>
              </w:rPr>
            </w:pPr>
          </w:p>
          <w:p w14:paraId="38F85E24" w14:textId="77777777" w:rsidR="00DA6228" w:rsidRPr="00ED5AD0" w:rsidRDefault="00DA6228" w:rsidP="005E55BF">
            <w:pPr>
              <w:rPr>
                <w:rFonts w:cs="Arial"/>
                <w:sz w:val="22"/>
              </w:rPr>
            </w:pPr>
          </w:p>
          <w:p w14:paraId="1C26B691" w14:textId="77777777" w:rsidR="005E55BF" w:rsidRPr="00ED5AD0" w:rsidRDefault="005E55BF" w:rsidP="005E55BF">
            <w:pPr>
              <w:rPr>
                <w:rFonts w:cs="Arial"/>
                <w:sz w:val="22"/>
              </w:rPr>
            </w:pPr>
          </w:p>
          <w:p w14:paraId="0B412AA1" w14:textId="1B718CA9" w:rsidR="005E55BF" w:rsidRPr="00ED5AD0" w:rsidRDefault="005E55BF" w:rsidP="005E55BF">
            <w:pPr>
              <w:rPr>
                <w:rFonts w:cs="Arial"/>
                <w:sz w:val="22"/>
              </w:rPr>
            </w:pPr>
            <w:r w:rsidRPr="00ED5AD0">
              <w:rPr>
                <w:rFonts w:cs="Arial"/>
                <w:sz w:val="22"/>
              </w:rPr>
              <w:t>ii)Director of Transformation</w:t>
            </w:r>
          </w:p>
          <w:p w14:paraId="548840BA" w14:textId="77777777" w:rsidR="005E55BF" w:rsidRPr="00ED5AD0" w:rsidRDefault="005E55BF" w:rsidP="005E55BF">
            <w:pPr>
              <w:rPr>
                <w:rFonts w:cs="Arial"/>
                <w:sz w:val="22"/>
              </w:rPr>
            </w:pPr>
          </w:p>
          <w:p w14:paraId="5EA071BC" w14:textId="77777777" w:rsidR="00DA6228" w:rsidRPr="00ED5AD0" w:rsidRDefault="00DA6228" w:rsidP="005E55BF">
            <w:pPr>
              <w:rPr>
                <w:rFonts w:cs="Arial"/>
                <w:sz w:val="22"/>
              </w:rPr>
            </w:pPr>
          </w:p>
          <w:p w14:paraId="1F45ABC0" w14:textId="77777777" w:rsidR="00DA6228" w:rsidRPr="00ED5AD0" w:rsidRDefault="00DA6228" w:rsidP="005E55BF">
            <w:pPr>
              <w:rPr>
                <w:rFonts w:cs="Arial"/>
                <w:sz w:val="22"/>
              </w:rPr>
            </w:pPr>
          </w:p>
          <w:p w14:paraId="34E62589" w14:textId="77777777" w:rsidR="00DA6228" w:rsidRPr="00ED5AD0" w:rsidRDefault="00DA6228" w:rsidP="005E55BF">
            <w:pPr>
              <w:rPr>
                <w:rFonts w:cs="Arial"/>
                <w:sz w:val="22"/>
              </w:rPr>
            </w:pPr>
          </w:p>
          <w:p w14:paraId="3DAE7F41" w14:textId="6E2DED48" w:rsidR="005E55BF" w:rsidRPr="00ED5AD0" w:rsidRDefault="005E55BF" w:rsidP="005E55BF">
            <w:pPr>
              <w:rPr>
                <w:rFonts w:cs="Arial"/>
                <w:sz w:val="22"/>
              </w:rPr>
            </w:pPr>
            <w:r w:rsidRPr="00ED5AD0">
              <w:rPr>
                <w:rFonts w:cs="Arial"/>
                <w:sz w:val="22"/>
              </w:rPr>
              <w:t>i</w:t>
            </w:r>
            <w:r w:rsidR="0069552B">
              <w:rPr>
                <w:rFonts w:cs="Arial"/>
                <w:sz w:val="22"/>
              </w:rPr>
              <w:t>ii</w:t>
            </w:r>
            <w:r w:rsidRPr="00ED5AD0">
              <w:rPr>
                <w:rFonts w:cs="Arial"/>
                <w:sz w:val="22"/>
              </w:rPr>
              <w:t>)Director of Operations</w:t>
            </w:r>
          </w:p>
          <w:p w14:paraId="7E900D50" w14:textId="77777777" w:rsidR="003260D8" w:rsidRPr="00ED5AD0" w:rsidRDefault="003260D8" w:rsidP="005918BD">
            <w:pPr>
              <w:rPr>
                <w:rFonts w:cs="Arial"/>
                <w:sz w:val="22"/>
                <w:szCs w:val="22"/>
              </w:rPr>
            </w:pPr>
          </w:p>
          <w:p w14:paraId="775BC373" w14:textId="77777777" w:rsidR="003260D8" w:rsidRPr="00ED5AD0" w:rsidRDefault="003260D8" w:rsidP="00BD19E4">
            <w:pPr>
              <w:ind w:left="318"/>
              <w:rPr>
                <w:rFonts w:cs="Arial"/>
                <w:sz w:val="22"/>
                <w:szCs w:val="22"/>
              </w:rPr>
            </w:pPr>
          </w:p>
        </w:tc>
        <w:tc>
          <w:tcPr>
            <w:tcW w:w="1985" w:type="dxa"/>
          </w:tcPr>
          <w:p w14:paraId="166609B1" w14:textId="77777777" w:rsidR="003260D8" w:rsidRPr="00ED5AD0" w:rsidRDefault="003260D8" w:rsidP="00BD19E4">
            <w:pPr>
              <w:ind w:left="175"/>
              <w:rPr>
                <w:rFonts w:cs="Arial"/>
                <w:color w:val="000000"/>
                <w:sz w:val="20"/>
              </w:rPr>
            </w:pPr>
          </w:p>
          <w:p w14:paraId="185670C1" w14:textId="77777777" w:rsidR="003C04F4" w:rsidRPr="00ED5AD0" w:rsidRDefault="003C04F4" w:rsidP="00644A98">
            <w:pPr>
              <w:rPr>
                <w:rFonts w:cs="Arial"/>
                <w:sz w:val="20"/>
              </w:rPr>
            </w:pPr>
          </w:p>
          <w:p w14:paraId="7BFF226E" w14:textId="77777777" w:rsidR="003C04F4" w:rsidRPr="00ED5AD0" w:rsidRDefault="003C04F4" w:rsidP="00644A98">
            <w:pPr>
              <w:rPr>
                <w:rFonts w:cs="Arial"/>
                <w:sz w:val="22"/>
                <w:szCs w:val="22"/>
              </w:rPr>
            </w:pPr>
            <w:r w:rsidRPr="00ED5AD0">
              <w:rPr>
                <w:rFonts w:cs="Arial"/>
                <w:sz w:val="22"/>
                <w:szCs w:val="22"/>
              </w:rPr>
              <w:t>£85,882</w:t>
            </w:r>
          </w:p>
          <w:p w14:paraId="7E3BD373" w14:textId="77777777" w:rsidR="003C04F4" w:rsidRPr="00ED5AD0" w:rsidRDefault="003C04F4" w:rsidP="00644A98">
            <w:pPr>
              <w:rPr>
                <w:rFonts w:cs="Arial"/>
                <w:sz w:val="22"/>
                <w:szCs w:val="22"/>
              </w:rPr>
            </w:pPr>
            <w:r w:rsidRPr="00ED5AD0">
              <w:rPr>
                <w:rFonts w:cs="Arial"/>
                <w:sz w:val="22"/>
                <w:szCs w:val="22"/>
              </w:rPr>
              <w:t>£88,271</w:t>
            </w:r>
          </w:p>
          <w:p w14:paraId="00BA2582" w14:textId="77777777" w:rsidR="003C04F4" w:rsidRPr="00ED5AD0" w:rsidRDefault="003C04F4" w:rsidP="00644A98">
            <w:pPr>
              <w:rPr>
                <w:rFonts w:cs="Arial"/>
                <w:sz w:val="22"/>
                <w:szCs w:val="22"/>
              </w:rPr>
            </w:pPr>
            <w:r w:rsidRPr="00ED5AD0">
              <w:rPr>
                <w:rFonts w:cs="Arial"/>
                <w:sz w:val="22"/>
                <w:szCs w:val="22"/>
              </w:rPr>
              <w:t>£91,872</w:t>
            </w:r>
          </w:p>
          <w:p w14:paraId="56ABD37F" w14:textId="77777777" w:rsidR="003C04F4" w:rsidRPr="00ED5AD0" w:rsidRDefault="003C04F4" w:rsidP="00644A98">
            <w:pPr>
              <w:rPr>
                <w:rFonts w:cs="Arial"/>
                <w:sz w:val="22"/>
                <w:szCs w:val="22"/>
              </w:rPr>
            </w:pPr>
          </w:p>
          <w:p w14:paraId="04B5F9A2" w14:textId="77777777" w:rsidR="003C04F4" w:rsidRPr="00ED5AD0" w:rsidRDefault="003C04F4" w:rsidP="00644A98">
            <w:pPr>
              <w:rPr>
                <w:rFonts w:cs="Arial"/>
                <w:sz w:val="22"/>
                <w:szCs w:val="22"/>
              </w:rPr>
            </w:pPr>
          </w:p>
          <w:p w14:paraId="48AA0C0E" w14:textId="77777777" w:rsidR="003C04F4" w:rsidRPr="00ED5AD0" w:rsidRDefault="003C04F4" w:rsidP="00644A98">
            <w:pPr>
              <w:rPr>
                <w:rFonts w:cs="Arial"/>
                <w:sz w:val="22"/>
                <w:szCs w:val="22"/>
              </w:rPr>
            </w:pPr>
          </w:p>
          <w:p w14:paraId="63CE8DC9" w14:textId="77777777" w:rsidR="003C04F4" w:rsidRPr="00ED5AD0" w:rsidRDefault="003C04F4" w:rsidP="00644A98">
            <w:pPr>
              <w:rPr>
                <w:rFonts w:cs="Arial"/>
                <w:sz w:val="22"/>
                <w:szCs w:val="22"/>
              </w:rPr>
            </w:pPr>
            <w:r w:rsidRPr="00ED5AD0">
              <w:rPr>
                <w:rFonts w:cs="Arial"/>
                <w:sz w:val="22"/>
                <w:szCs w:val="22"/>
              </w:rPr>
              <w:t>£85,882</w:t>
            </w:r>
          </w:p>
          <w:p w14:paraId="67930F1C" w14:textId="77777777" w:rsidR="003C04F4" w:rsidRPr="00ED5AD0" w:rsidRDefault="003C04F4" w:rsidP="00644A98">
            <w:pPr>
              <w:rPr>
                <w:rFonts w:cs="Arial"/>
                <w:sz w:val="22"/>
                <w:szCs w:val="22"/>
              </w:rPr>
            </w:pPr>
            <w:r w:rsidRPr="00ED5AD0">
              <w:rPr>
                <w:rFonts w:cs="Arial"/>
                <w:sz w:val="22"/>
                <w:szCs w:val="22"/>
              </w:rPr>
              <w:t>£88,271</w:t>
            </w:r>
          </w:p>
          <w:p w14:paraId="71DAFDC8" w14:textId="14E5A50E" w:rsidR="003C04F4" w:rsidRPr="00ED5AD0" w:rsidRDefault="003C04F4" w:rsidP="00644A98">
            <w:pPr>
              <w:rPr>
                <w:rFonts w:cs="Arial"/>
                <w:sz w:val="22"/>
                <w:szCs w:val="22"/>
              </w:rPr>
            </w:pPr>
            <w:r w:rsidRPr="00ED5AD0">
              <w:rPr>
                <w:rFonts w:cs="Arial"/>
                <w:sz w:val="22"/>
                <w:szCs w:val="22"/>
              </w:rPr>
              <w:t>£91,872</w:t>
            </w:r>
          </w:p>
          <w:p w14:paraId="303C5C1F" w14:textId="77777777" w:rsidR="003C04F4" w:rsidRPr="00ED5AD0" w:rsidRDefault="003C04F4" w:rsidP="00644A98">
            <w:pPr>
              <w:rPr>
                <w:rFonts w:cs="Arial"/>
                <w:sz w:val="22"/>
                <w:szCs w:val="22"/>
              </w:rPr>
            </w:pPr>
          </w:p>
          <w:p w14:paraId="187FC532" w14:textId="77777777" w:rsidR="003C04F4" w:rsidRPr="00ED5AD0" w:rsidRDefault="003C04F4" w:rsidP="00644A98">
            <w:pPr>
              <w:rPr>
                <w:rFonts w:cs="Arial"/>
                <w:sz w:val="22"/>
                <w:szCs w:val="22"/>
              </w:rPr>
            </w:pPr>
          </w:p>
          <w:p w14:paraId="51171B2C" w14:textId="77777777" w:rsidR="003C04F4" w:rsidRPr="00ED5AD0" w:rsidRDefault="003C04F4" w:rsidP="00644A98">
            <w:pPr>
              <w:rPr>
                <w:rFonts w:cs="Arial"/>
                <w:sz w:val="22"/>
                <w:szCs w:val="22"/>
              </w:rPr>
            </w:pPr>
            <w:r w:rsidRPr="00ED5AD0">
              <w:rPr>
                <w:rFonts w:cs="Arial"/>
                <w:sz w:val="22"/>
                <w:szCs w:val="22"/>
              </w:rPr>
              <w:t>£85,882</w:t>
            </w:r>
          </w:p>
          <w:p w14:paraId="03F4D223" w14:textId="77777777" w:rsidR="003C04F4" w:rsidRPr="00ED5AD0" w:rsidRDefault="003C04F4" w:rsidP="00644A98">
            <w:pPr>
              <w:rPr>
                <w:rFonts w:cs="Arial"/>
                <w:sz w:val="22"/>
                <w:szCs w:val="22"/>
              </w:rPr>
            </w:pPr>
            <w:r w:rsidRPr="00ED5AD0">
              <w:rPr>
                <w:rFonts w:cs="Arial"/>
                <w:sz w:val="22"/>
                <w:szCs w:val="22"/>
              </w:rPr>
              <w:t>£88,271</w:t>
            </w:r>
          </w:p>
          <w:p w14:paraId="26812A38" w14:textId="73213042" w:rsidR="003C04F4" w:rsidRPr="00ED5AD0" w:rsidRDefault="003C04F4" w:rsidP="00644A98">
            <w:pPr>
              <w:rPr>
                <w:rFonts w:cs="Arial"/>
                <w:sz w:val="20"/>
              </w:rPr>
            </w:pPr>
            <w:r w:rsidRPr="00ED5AD0">
              <w:rPr>
                <w:rFonts w:cs="Arial"/>
                <w:sz w:val="22"/>
                <w:szCs w:val="22"/>
              </w:rPr>
              <w:t>£91,872</w:t>
            </w:r>
          </w:p>
        </w:tc>
        <w:tc>
          <w:tcPr>
            <w:tcW w:w="1559" w:type="dxa"/>
          </w:tcPr>
          <w:p w14:paraId="3D0000B8" w14:textId="77777777" w:rsidR="00605BC1" w:rsidRDefault="00605BC1" w:rsidP="0008464B">
            <w:pPr>
              <w:rPr>
                <w:rFonts w:cs="Arial"/>
                <w:szCs w:val="24"/>
              </w:rPr>
            </w:pPr>
          </w:p>
          <w:p w14:paraId="33F1690F" w14:textId="77777777" w:rsidR="00667C57" w:rsidRDefault="00667C57" w:rsidP="0008464B">
            <w:pPr>
              <w:rPr>
                <w:rFonts w:cs="Arial"/>
                <w:szCs w:val="24"/>
              </w:rPr>
            </w:pPr>
          </w:p>
          <w:p w14:paraId="443D6C67" w14:textId="4DE09D51" w:rsidR="003260D8" w:rsidRPr="00ED5AD0" w:rsidRDefault="003260D8" w:rsidP="0008464B">
            <w:pPr>
              <w:rPr>
                <w:rFonts w:cs="Arial"/>
                <w:szCs w:val="24"/>
              </w:rPr>
            </w:pPr>
            <w:r w:rsidRPr="00ED5AD0">
              <w:rPr>
                <w:rFonts w:cs="Arial"/>
                <w:szCs w:val="24"/>
              </w:rPr>
              <w:t>No</w:t>
            </w:r>
          </w:p>
        </w:tc>
        <w:tc>
          <w:tcPr>
            <w:tcW w:w="2154" w:type="dxa"/>
          </w:tcPr>
          <w:p w14:paraId="002853F3" w14:textId="77777777" w:rsidR="003C04F4" w:rsidRDefault="003C04F4" w:rsidP="00BD19E4">
            <w:pPr>
              <w:rPr>
                <w:rFonts w:cs="Arial"/>
                <w:color w:val="000000"/>
                <w:sz w:val="22"/>
                <w:szCs w:val="22"/>
              </w:rPr>
            </w:pPr>
          </w:p>
          <w:p w14:paraId="242795E4" w14:textId="77777777" w:rsidR="00605BC1" w:rsidRPr="00ED5AD0" w:rsidRDefault="00605BC1" w:rsidP="00BD19E4">
            <w:pPr>
              <w:rPr>
                <w:rFonts w:cs="Arial"/>
                <w:color w:val="000000"/>
                <w:sz w:val="22"/>
                <w:szCs w:val="22"/>
              </w:rPr>
            </w:pPr>
          </w:p>
          <w:p w14:paraId="19EB2538" w14:textId="32767678" w:rsidR="003260D8" w:rsidRPr="00ED5AD0" w:rsidRDefault="008F111A" w:rsidP="001829F5">
            <w:pPr>
              <w:rPr>
                <w:rFonts w:cs="Arial"/>
                <w:color w:val="000000"/>
                <w:sz w:val="22"/>
                <w:szCs w:val="22"/>
              </w:rPr>
            </w:pPr>
            <w:proofErr w:type="spellStart"/>
            <w:r w:rsidRPr="00ED5AD0">
              <w:rPr>
                <w:rFonts w:cs="Arial"/>
                <w:color w:val="000000"/>
                <w:sz w:val="22"/>
                <w:szCs w:val="22"/>
              </w:rPr>
              <w:t>i</w:t>
            </w:r>
            <w:proofErr w:type="spellEnd"/>
            <w:r w:rsidRPr="00ED5AD0">
              <w:rPr>
                <w:rFonts w:cs="Arial"/>
                <w:color w:val="000000"/>
                <w:sz w:val="22"/>
                <w:szCs w:val="22"/>
              </w:rPr>
              <w:t xml:space="preserve">) </w:t>
            </w:r>
            <w:r w:rsidR="000658E6" w:rsidRPr="00ED5AD0">
              <w:rPr>
                <w:rFonts w:cs="Arial"/>
                <w:color w:val="000000"/>
                <w:sz w:val="22"/>
                <w:szCs w:val="22"/>
              </w:rPr>
              <w:t>79</w:t>
            </w:r>
            <w:r w:rsidR="00FF0C4A" w:rsidRPr="00ED5AD0">
              <w:rPr>
                <w:rFonts w:cs="Arial"/>
                <w:color w:val="000000"/>
                <w:sz w:val="22"/>
                <w:szCs w:val="22"/>
              </w:rPr>
              <w:t xml:space="preserve"> </w:t>
            </w:r>
            <w:r w:rsidR="003260D8" w:rsidRPr="00ED5AD0">
              <w:rPr>
                <w:rFonts w:cs="Arial"/>
                <w:color w:val="000000"/>
                <w:sz w:val="22"/>
                <w:szCs w:val="22"/>
              </w:rPr>
              <w:t>staff</w:t>
            </w:r>
          </w:p>
          <w:p w14:paraId="6CFF940E" w14:textId="77777777" w:rsidR="00FE5D08" w:rsidRPr="00ED5AD0" w:rsidRDefault="00FE5D08" w:rsidP="001829F5">
            <w:pPr>
              <w:rPr>
                <w:rFonts w:cs="Arial"/>
                <w:color w:val="000000"/>
                <w:sz w:val="22"/>
                <w:szCs w:val="22"/>
              </w:rPr>
            </w:pPr>
          </w:p>
          <w:p w14:paraId="23DFDE90" w14:textId="6C4054AA" w:rsidR="00FE5D08" w:rsidRPr="00ED5AD0" w:rsidRDefault="00FE5D08" w:rsidP="001829F5">
            <w:pPr>
              <w:rPr>
                <w:rFonts w:cs="Arial"/>
                <w:color w:val="000000"/>
                <w:sz w:val="22"/>
                <w:szCs w:val="22"/>
              </w:rPr>
            </w:pPr>
            <w:r w:rsidRPr="00ED5AD0">
              <w:rPr>
                <w:rFonts w:cs="Arial"/>
                <w:color w:val="000000"/>
                <w:sz w:val="22"/>
                <w:szCs w:val="22"/>
              </w:rPr>
              <w:t>Total budget (2</w:t>
            </w:r>
            <w:r w:rsidR="000658E6" w:rsidRPr="00ED5AD0">
              <w:rPr>
                <w:rFonts w:cs="Arial"/>
                <w:color w:val="000000"/>
                <w:sz w:val="22"/>
                <w:szCs w:val="22"/>
              </w:rPr>
              <w:t>4/25</w:t>
            </w:r>
            <w:r w:rsidRPr="00ED5AD0">
              <w:rPr>
                <w:rFonts w:cs="Arial"/>
                <w:color w:val="000000"/>
                <w:sz w:val="22"/>
                <w:szCs w:val="22"/>
              </w:rPr>
              <w:t>) £</w:t>
            </w:r>
            <w:r w:rsidR="000658E6" w:rsidRPr="00ED5AD0">
              <w:rPr>
                <w:rFonts w:cs="Arial"/>
                <w:color w:val="000000"/>
                <w:sz w:val="22"/>
                <w:szCs w:val="22"/>
              </w:rPr>
              <w:t>6,720,200</w:t>
            </w:r>
          </w:p>
          <w:p w14:paraId="7410E5FC" w14:textId="77777777" w:rsidR="00DA6228" w:rsidRPr="00ED5AD0" w:rsidRDefault="00DA6228" w:rsidP="001829F5">
            <w:pPr>
              <w:rPr>
                <w:rFonts w:cs="Arial"/>
                <w:color w:val="000000"/>
                <w:sz w:val="22"/>
                <w:szCs w:val="22"/>
              </w:rPr>
            </w:pPr>
          </w:p>
          <w:p w14:paraId="7874576E" w14:textId="77777777" w:rsidR="00DA6228" w:rsidRPr="00ED5AD0" w:rsidRDefault="00DA6228" w:rsidP="001829F5">
            <w:pPr>
              <w:rPr>
                <w:rFonts w:cs="Arial"/>
                <w:color w:val="000000"/>
                <w:sz w:val="22"/>
                <w:szCs w:val="22"/>
              </w:rPr>
            </w:pPr>
          </w:p>
          <w:p w14:paraId="3229C198" w14:textId="05ABA6D9" w:rsidR="00DA6228" w:rsidRPr="00ED5AD0" w:rsidRDefault="00DA6228" w:rsidP="00DA6228">
            <w:pPr>
              <w:rPr>
                <w:rFonts w:cs="Arial"/>
                <w:color w:val="000000"/>
                <w:sz w:val="22"/>
              </w:rPr>
            </w:pPr>
            <w:r w:rsidRPr="00ED5AD0">
              <w:rPr>
                <w:rFonts w:cs="Arial"/>
                <w:color w:val="000000"/>
                <w:sz w:val="22"/>
              </w:rPr>
              <w:t xml:space="preserve">ii) </w:t>
            </w:r>
            <w:r w:rsidR="000658E6" w:rsidRPr="00ED5AD0">
              <w:rPr>
                <w:rFonts w:cs="Arial"/>
                <w:color w:val="000000"/>
                <w:sz w:val="22"/>
              </w:rPr>
              <w:t>57 staff</w:t>
            </w:r>
          </w:p>
          <w:p w14:paraId="108EAC35" w14:textId="7BD8C304" w:rsidR="00501B39" w:rsidRPr="00ED5AD0" w:rsidRDefault="00501B39" w:rsidP="00DA6228">
            <w:pPr>
              <w:rPr>
                <w:rFonts w:cs="Arial"/>
                <w:color w:val="000000"/>
                <w:sz w:val="22"/>
              </w:rPr>
            </w:pPr>
            <w:r w:rsidRPr="00ED5AD0">
              <w:rPr>
                <w:rFonts w:cs="Arial"/>
                <w:color w:val="000000"/>
                <w:sz w:val="22"/>
              </w:rPr>
              <w:t>Total budget</w:t>
            </w:r>
          </w:p>
          <w:p w14:paraId="2A4CC0BF" w14:textId="45BE5BC0" w:rsidR="000658E6" w:rsidRPr="00ED5AD0" w:rsidRDefault="00501B39" w:rsidP="00DA6228">
            <w:pPr>
              <w:rPr>
                <w:rFonts w:cs="Arial"/>
                <w:color w:val="000000"/>
                <w:sz w:val="22"/>
              </w:rPr>
            </w:pPr>
            <w:r w:rsidRPr="00ED5AD0">
              <w:rPr>
                <w:rFonts w:cs="Arial"/>
                <w:color w:val="000000"/>
                <w:sz w:val="22"/>
              </w:rPr>
              <w:t>(</w:t>
            </w:r>
            <w:r w:rsidR="000658E6" w:rsidRPr="00ED5AD0">
              <w:rPr>
                <w:rFonts w:cs="Arial"/>
                <w:color w:val="000000"/>
                <w:sz w:val="22"/>
              </w:rPr>
              <w:t>24/25)</w:t>
            </w:r>
          </w:p>
          <w:p w14:paraId="3A4F6D89" w14:textId="45406EC9" w:rsidR="000658E6" w:rsidRPr="00ED5AD0" w:rsidRDefault="000658E6" w:rsidP="00DA6228">
            <w:pPr>
              <w:rPr>
                <w:rFonts w:cs="Arial"/>
                <w:color w:val="000000"/>
                <w:sz w:val="22"/>
              </w:rPr>
            </w:pPr>
            <w:r w:rsidRPr="00ED5AD0">
              <w:rPr>
                <w:rFonts w:cs="Arial"/>
                <w:color w:val="000000"/>
                <w:sz w:val="22"/>
              </w:rPr>
              <w:t>£2,870.900</w:t>
            </w:r>
          </w:p>
          <w:p w14:paraId="130796CA" w14:textId="77777777" w:rsidR="00DA6228" w:rsidRPr="00ED5AD0" w:rsidRDefault="00DA6228" w:rsidP="00DA6228">
            <w:pPr>
              <w:pStyle w:val="ListParagraph"/>
              <w:rPr>
                <w:rFonts w:cs="Arial"/>
                <w:color w:val="000000"/>
                <w:sz w:val="22"/>
              </w:rPr>
            </w:pPr>
          </w:p>
          <w:p w14:paraId="6F06EC8F" w14:textId="252C90BA" w:rsidR="00501B39" w:rsidRPr="00ED5AD0" w:rsidRDefault="00501B39" w:rsidP="00501B39">
            <w:pPr>
              <w:rPr>
                <w:rFonts w:cs="Arial"/>
                <w:color w:val="000000"/>
                <w:sz w:val="22"/>
                <w:szCs w:val="22"/>
              </w:rPr>
            </w:pPr>
            <w:r w:rsidRPr="00ED5AD0">
              <w:rPr>
                <w:rFonts w:cs="Arial"/>
                <w:color w:val="000000"/>
                <w:sz w:val="22"/>
                <w:szCs w:val="22"/>
              </w:rPr>
              <w:t>i</w:t>
            </w:r>
            <w:r w:rsidR="00605BC1">
              <w:rPr>
                <w:rFonts w:cs="Arial"/>
                <w:color w:val="000000"/>
                <w:sz w:val="22"/>
                <w:szCs w:val="22"/>
              </w:rPr>
              <w:t>ii</w:t>
            </w:r>
            <w:r w:rsidRPr="00ED5AD0">
              <w:rPr>
                <w:rFonts w:cs="Arial"/>
                <w:color w:val="000000"/>
                <w:sz w:val="22"/>
                <w:szCs w:val="22"/>
              </w:rPr>
              <w:t>) 251 staff</w:t>
            </w:r>
          </w:p>
          <w:p w14:paraId="4A2AFC62" w14:textId="77777777" w:rsidR="00501B39" w:rsidRPr="00ED5AD0" w:rsidRDefault="00501B39" w:rsidP="00501B39">
            <w:pPr>
              <w:rPr>
                <w:rFonts w:cs="Arial"/>
                <w:color w:val="000000"/>
                <w:sz w:val="22"/>
                <w:szCs w:val="22"/>
              </w:rPr>
            </w:pPr>
            <w:r w:rsidRPr="00ED5AD0">
              <w:rPr>
                <w:rFonts w:cs="Arial"/>
                <w:color w:val="000000"/>
                <w:sz w:val="22"/>
                <w:szCs w:val="22"/>
              </w:rPr>
              <w:t>Total budget</w:t>
            </w:r>
          </w:p>
          <w:p w14:paraId="34A36E9E" w14:textId="77777777" w:rsidR="00501B39" w:rsidRPr="00ED5AD0" w:rsidRDefault="00501B39" w:rsidP="00501B39">
            <w:pPr>
              <w:rPr>
                <w:rFonts w:cs="Arial"/>
                <w:color w:val="000000"/>
                <w:sz w:val="22"/>
                <w:szCs w:val="22"/>
              </w:rPr>
            </w:pPr>
            <w:r w:rsidRPr="00ED5AD0">
              <w:rPr>
                <w:rFonts w:cs="Arial"/>
                <w:color w:val="000000"/>
                <w:sz w:val="22"/>
                <w:szCs w:val="22"/>
              </w:rPr>
              <w:t>(24/25)</w:t>
            </w:r>
          </w:p>
          <w:p w14:paraId="5E6A0F5B" w14:textId="1279FE42" w:rsidR="003260D8" w:rsidRPr="00ED5AD0" w:rsidRDefault="00501B39" w:rsidP="00501B39">
            <w:pPr>
              <w:rPr>
                <w:rFonts w:cs="Arial"/>
                <w:color w:val="000000"/>
                <w:sz w:val="22"/>
                <w:szCs w:val="22"/>
              </w:rPr>
            </w:pPr>
            <w:r w:rsidRPr="00ED5AD0">
              <w:rPr>
                <w:rFonts w:cs="Arial"/>
                <w:color w:val="000000"/>
                <w:sz w:val="22"/>
                <w:szCs w:val="22"/>
              </w:rPr>
              <w:t xml:space="preserve">£15,962,700 </w:t>
            </w:r>
            <w:r w:rsidR="003260D8" w:rsidRPr="00ED5AD0">
              <w:rPr>
                <w:rFonts w:cs="Arial"/>
                <w:color w:val="000000"/>
                <w:sz w:val="22"/>
                <w:szCs w:val="22"/>
              </w:rPr>
              <w:t xml:space="preserve">   </w:t>
            </w:r>
          </w:p>
        </w:tc>
      </w:tr>
      <w:tr w:rsidR="007C167E" w:rsidRPr="00ED5AD0" w14:paraId="02FE796A" w14:textId="77777777" w:rsidTr="000658E6">
        <w:tc>
          <w:tcPr>
            <w:tcW w:w="3686" w:type="dxa"/>
          </w:tcPr>
          <w:p w14:paraId="3993E500" w14:textId="77777777" w:rsidR="007C167E" w:rsidRPr="00CF20EC" w:rsidRDefault="007C167E" w:rsidP="007C167E">
            <w:pPr>
              <w:numPr>
                <w:ilvl w:val="0"/>
                <w:numId w:val="25"/>
              </w:numPr>
              <w:ind w:left="176" w:hanging="176"/>
              <w:rPr>
                <w:rFonts w:cs="Arial"/>
                <w:b/>
                <w:bCs/>
                <w:sz w:val="22"/>
                <w:szCs w:val="22"/>
              </w:rPr>
            </w:pPr>
            <w:r w:rsidRPr="00CF20EC">
              <w:rPr>
                <w:b/>
                <w:bCs/>
              </w:rPr>
              <w:t>Chief Finance Officer &amp; Section 151 Officer</w:t>
            </w:r>
          </w:p>
          <w:p w14:paraId="79C51673" w14:textId="77777777" w:rsidR="007C167E" w:rsidRPr="00CF20EC" w:rsidRDefault="007C167E" w:rsidP="00CF20EC">
            <w:pPr>
              <w:ind w:left="176"/>
              <w:rPr>
                <w:rFonts w:cs="Arial"/>
                <w:b/>
                <w:bCs/>
                <w:sz w:val="22"/>
                <w:szCs w:val="22"/>
              </w:rPr>
            </w:pPr>
            <w:r w:rsidRPr="00CF20EC">
              <w:rPr>
                <w:b/>
                <w:bCs/>
              </w:rPr>
              <w:t>Band 4 + 10%</w:t>
            </w:r>
          </w:p>
          <w:p w14:paraId="669E5BFF" w14:textId="77777777" w:rsidR="007C167E" w:rsidRPr="00ED5AD0" w:rsidRDefault="007C167E" w:rsidP="00644A98">
            <w:pPr>
              <w:rPr>
                <w:rFonts w:cs="Arial"/>
                <w:b/>
                <w:sz w:val="22"/>
                <w:szCs w:val="22"/>
              </w:rPr>
            </w:pPr>
          </w:p>
        </w:tc>
        <w:tc>
          <w:tcPr>
            <w:tcW w:w="1985" w:type="dxa"/>
          </w:tcPr>
          <w:p w14:paraId="36C6E666" w14:textId="77777777" w:rsidR="0069552B" w:rsidRPr="00ED5AD0" w:rsidRDefault="0069552B" w:rsidP="0069552B">
            <w:pPr>
              <w:ind w:left="-222" w:firstLine="222"/>
              <w:rPr>
                <w:rFonts w:cs="Arial"/>
                <w:color w:val="000000"/>
                <w:sz w:val="22"/>
                <w:szCs w:val="22"/>
              </w:rPr>
            </w:pPr>
            <w:r>
              <w:rPr>
                <w:rFonts w:cs="Arial"/>
                <w:color w:val="000000"/>
                <w:sz w:val="22"/>
                <w:szCs w:val="22"/>
              </w:rPr>
              <w:t>£81,491</w:t>
            </w:r>
          </w:p>
          <w:p w14:paraId="0781AF2D" w14:textId="77777777" w:rsidR="0069552B" w:rsidRPr="00ED5AD0" w:rsidRDefault="0069552B" w:rsidP="0069552B">
            <w:pPr>
              <w:ind w:left="-222" w:firstLine="222"/>
              <w:rPr>
                <w:rFonts w:cs="Arial"/>
                <w:color w:val="000000"/>
                <w:sz w:val="22"/>
                <w:szCs w:val="22"/>
              </w:rPr>
            </w:pPr>
            <w:r>
              <w:rPr>
                <w:rFonts w:cs="Arial"/>
                <w:color w:val="000000"/>
                <w:sz w:val="22"/>
                <w:szCs w:val="22"/>
              </w:rPr>
              <w:t>£83,695</w:t>
            </w:r>
          </w:p>
          <w:p w14:paraId="1529F5D7" w14:textId="77777777" w:rsidR="0069552B" w:rsidRPr="00ED5AD0" w:rsidRDefault="0069552B" w:rsidP="0069552B">
            <w:pPr>
              <w:ind w:left="-222" w:firstLine="222"/>
              <w:rPr>
                <w:rFonts w:cs="Arial"/>
                <w:color w:val="000000"/>
                <w:sz w:val="22"/>
                <w:szCs w:val="22"/>
              </w:rPr>
            </w:pPr>
            <w:r>
              <w:rPr>
                <w:rFonts w:cs="Arial"/>
                <w:color w:val="000000"/>
                <w:sz w:val="22"/>
                <w:szCs w:val="22"/>
              </w:rPr>
              <w:t>£86,447</w:t>
            </w:r>
          </w:p>
          <w:p w14:paraId="643C373A" w14:textId="0FD437B4" w:rsidR="007C167E" w:rsidRPr="00ED5AD0" w:rsidRDefault="007C167E" w:rsidP="00BD19E4">
            <w:pPr>
              <w:ind w:left="175"/>
              <w:rPr>
                <w:rFonts w:cs="Arial"/>
                <w:color w:val="000000"/>
                <w:sz w:val="20"/>
              </w:rPr>
            </w:pPr>
          </w:p>
        </w:tc>
        <w:tc>
          <w:tcPr>
            <w:tcW w:w="1559" w:type="dxa"/>
          </w:tcPr>
          <w:p w14:paraId="751F93FE" w14:textId="4636408F" w:rsidR="007C167E" w:rsidRPr="00ED5AD0" w:rsidRDefault="00667C57" w:rsidP="0008464B">
            <w:pPr>
              <w:rPr>
                <w:rFonts w:cs="Arial"/>
                <w:szCs w:val="24"/>
              </w:rPr>
            </w:pPr>
            <w:r>
              <w:rPr>
                <w:rFonts w:cs="Arial"/>
                <w:szCs w:val="24"/>
              </w:rPr>
              <w:t>No</w:t>
            </w:r>
          </w:p>
        </w:tc>
        <w:tc>
          <w:tcPr>
            <w:tcW w:w="2154" w:type="dxa"/>
          </w:tcPr>
          <w:p w14:paraId="7450E9BC" w14:textId="77777777" w:rsidR="0069552B" w:rsidRPr="00ED5AD0" w:rsidRDefault="0069552B" w:rsidP="0069552B">
            <w:pPr>
              <w:numPr>
                <w:ilvl w:val="0"/>
                <w:numId w:val="26"/>
              </w:numPr>
              <w:ind w:left="207" w:hanging="162"/>
              <w:rPr>
                <w:rFonts w:cs="Arial"/>
                <w:color w:val="000000"/>
                <w:sz w:val="22"/>
                <w:szCs w:val="22"/>
              </w:rPr>
            </w:pPr>
            <w:r w:rsidRPr="00ED5AD0">
              <w:rPr>
                <w:rFonts w:cs="Arial"/>
                <w:color w:val="000000"/>
                <w:sz w:val="22"/>
                <w:szCs w:val="22"/>
              </w:rPr>
              <w:t>40 staff</w:t>
            </w:r>
          </w:p>
          <w:p w14:paraId="5F23BA45" w14:textId="77777777" w:rsidR="0069552B" w:rsidRPr="00ED5AD0" w:rsidRDefault="0069552B" w:rsidP="0069552B">
            <w:pPr>
              <w:rPr>
                <w:rFonts w:cs="Arial"/>
                <w:color w:val="000000"/>
                <w:sz w:val="22"/>
                <w:szCs w:val="22"/>
              </w:rPr>
            </w:pPr>
          </w:p>
          <w:p w14:paraId="78ADD556" w14:textId="77777777" w:rsidR="0069552B" w:rsidRPr="00ED5AD0" w:rsidRDefault="0069552B" w:rsidP="0069552B">
            <w:pPr>
              <w:rPr>
                <w:rFonts w:cs="Arial"/>
                <w:color w:val="000000"/>
                <w:sz w:val="22"/>
                <w:szCs w:val="22"/>
              </w:rPr>
            </w:pPr>
            <w:r w:rsidRPr="00ED5AD0">
              <w:rPr>
                <w:rFonts w:cs="Arial"/>
                <w:color w:val="000000"/>
                <w:sz w:val="22"/>
                <w:szCs w:val="22"/>
              </w:rPr>
              <w:t>Total budget (24/25)) £17,842.300</w:t>
            </w:r>
          </w:p>
          <w:p w14:paraId="577D7501" w14:textId="77777777" w:rsidR="007C167E" w:rsidRPr="00ED5AD0" w:rsidRDefault="007C167E" w:rsidP="00CF20EC">
            <w:pPr>
              <w:ind w:left="207"/>
              <w:rPr>
                <w:rFonts w:cs="Arial"/>
                <w:color w:val="000000"/>
                <w:sz w:val="22"/>
                <w:szCs w:val="22"/>
              </w:rPr>
            </w:pPr>
          </w:p>
        </w:tc>
      </w:tr>
      <w:tr w:rsidR="002A63E9" w:rsidRPr="00ED5AD0" w14:paraId="77D6F55D" w14:textId="77777777" w:rsidTr="000658E6">
        <w:tc>
          <w:tcPr>
            <w:tcW w:w="3686" w:type="dxa"/>
          </w:tcPr>
          <w:p w14:paraId="31299D8E" w14:textId="4D8DEFFE" w:rsidR="00CF20EC" w:rsidRPr="00A8009D" w:rsidRDefault="002A63E9" w:rsidP="002A63E9">
            <w:pPr>
              <w:rPr>
                <w:rFonts w:cs="Arial"/>
                <w:sz w:val="22"/>
              </w:rPr>
            </w:pPr>
            <w:r w:rsidRPr="00BF3BD1">
              <w:rPr>
                <w:rFonts w:cs="Arial"/>
                <w:b/>
                <w:sz w:val="22"/>
                <w:szCs w:val="22"/>
              </w:rPr>
              <w:t xml:space="preserve">Assistant Director </w:t>
            </w:r>
            <w:proofErr w:type="gramStart"/>
            <w:r w:rsidRPr="00BF3BD1">
              <w:rPr>
                <w:rFonts w:cs="Arial"/>
                <w:b/>
                <w:sz w:val="22"/>
                <w:szCs w:val="22"/>
              </w:rPr>
              <w:t xml:space="preserve">– </w:t>
            </w:r>
            <w:r>
              <w:rPr>
                <w:rFonts w:cs="Arial"/>
                <w:b/>
                <w:sz w:val="22"/>
                <w:szCs w:val="22"/>
              </w:rPr>
              <w:t xml:space="preserve"> </w:t>
            </w:r>
            <w:r w:rsidR="00CF20EC">
              <w:rPr>
                <w:rFonts w:cs="Arial"/>
                <w:b/>
                <w:sz w:val="22"/>
                <w:szCs w:val="22"/>
              </w:rPr>
              <w:t>Band</w:t>
            </w:r>
            <w:proofErr w:type="gramEnd"/>
            <w:r w:rsidR="00CF20EC">
              <w:rPr>
                <w:rFonts w:cs="Arial"/>
                <w:b/>
                <w:sz w:val="22"/>
                <w:szCs w:val="22"/>
              </w:rPr>
              <w:t xml:space="preserve"> 4 (Band</w:t>
            </w:r>
            <w:r w:rsidR="00CF20EC" w:rsidRPr="00BF3BD1">
              <w:rPr>
                <w:rFonts w:cs="Arial"/>
                <w:b/>
                <w:bCs/>
                <w:sz w:val="22"/>
              </w:rPr>
              <w:t xml:space="preserve"> 3+ Honoraria</w:t>
            </w:r>
            <w:r w:rsidR="00CF20EC">
              <w:rPr>
                <w:rFonts w:cs="Arial"/>
                <w:b/>
                <w:bCs/>
                <w:sz w:val="22"/>
              </w:rPr>
              <w:t>)</w:t>
            </w:r>
            <w:r w:rsidR="00CF20EC" w:rsidRPr="00BF3BD1">
              <w:rPr>
                <w:rFonts w:cs="Arial"/>
                <w:b/>
                <w:bCs/>
                <w:sz w:val="22"/>
              </w:rPr>
              <w:t xml:space="preserve"> </w:t>
            </w:r>
          </w:p>
          <w:p w14:paraId="633A39D9" w14:textId="315D6E99" w:rsidR="002A63E9" w:rsidRPr="00A8009D" w:rsidRDefault="002A63E9" w:rsidP="00A8009D">
            <w:pPr>
              <w:pStyle w:val="ListParagraph"/>
              <w:numPr>
                <w:ilvl w:val="0"/>
                <w:numId w:val="58"/>
              </w:numPr>
              <w:rPr>
                <w:rFonts w:cs="Arial"/>
                <w:b/>
                <w:bCs/>
                <w:sz w:val="22"/>
              </w:rPr>
            </w:pPr>
            <w:r w:rsidRPr="00A8009D">
              <w:rPr>
                <w:rFonts w:cs="Arial"/>
                <w:sz w:val="22"/>
              </w:rPr>
              <w:t xml:space="preserve">Assistant Director for Communities, Leisure &amp; Wellbeing </w:t>
            </w:r>
          </w:p>
          <w:p w14:paraId="206E1BFB" w14:textId="77777777" w:rsidR="002A63E9" w:rsidRPr="00ED5AD0" w:rsidRDefault="002A63E9" w:rsidP="002A63E9">
            <w:pPr>
              <w:rPr>
                <w:rFonts w:cs="Arial"/>
                <w:b/>
                <w:sz w:val="22"/>
                <w:szCs w:val="22"/>
              </w:rPr>
            </w:pPr>
          </w:p>
        </w:tc>
        <w:tc>
          <w:tcPr>
            <w:tcW w:w="1985" w:type="dxa"/>
          </w:tcPr>
          <w:p w14:paraId="4BCA16AB" w14:textId="77777777" w:rsidR="002A63E9" w:rsidRPr="00ED5AD0" w:rsidRDefault="002A63E9" w:rsidP="002A63E9">
            <w:pPr>
              <w:rPr>
                <w:rFonts w:cs="Arial"/>
                <w:sz w:val="20"/>
              </w:rPr>
            </w:pPr>
            <w:r>
              <w:rPr>
                <w:rFonts w:cs="Arial"/>
                <w:sz w:val="20"/>
              </w:rPr>
              <w:t xml:space="preserve"> £74,082</w:t>
            </w:r>
          </w:p>
          <w:p w14:paraId="22D479FC" w14:textId="77777777" w:rsidR="002A63E9" w:rsidRPr="00ED5AD0" w:rsidRDefault="002A63E9" w:rsidP="002A63E9">
            <w:pPr>
              <w:rPr>
                <w:rFonts w:cs="Arial"/>
                <w:sz w:val="20"/>
              </w:rPr>
            </w:pPr>
            <w:r>
              <w:rPr>
                <w:rFonts w:cs="Arial"/>
                <w:sz w:val="20"/>
              </w:rPr>
              <w:t xml:space="preserve"> £76,332</w:t>
            </w:r>
          </w:p>
          <w:p w14:paraId="3B3426DA" w14:textId="4C58868C" w:rsidR="002A63E9" w:rsidRPr="00ED5AD0" w:rsidDel="0052247C" w:rsidRDefault="002A63E9" w:rsidP="002A63E9">
            <w:pPr>
              <w:rPr>
                <w:rFonts w:cs="Arial"/>
                <w:sz w:val="20"/>
              </w:rPr>
            </w:pPr>
            <w:r>
              <w:rPr>
                <w:rFonts w:cs="Arial"/>
                <w:sz w:val="20"/>
              </w:rPr>
              <w:t xml:space="preserve"> £78,588</w:t>
            </w:r>
          </w:p>
        </w:tc>
        <w:tc>
          <w:tcPr>
            <w:tcW w:w="1559" w:type="dxa"/>
          </w:tcPr>
          <w:p w14:paraId="5AC35BA6" w14:textId="7B2E8611" w:rsidR="002A63E9" w:rsidRPr="00ED5AD0" w:rsidRDefault="002A63E9" w:rsidP="002A63E9">
            <w:pPr>
              <w:rPr>
                <w:rFonts w:cs="Arial"/>
                <w:szCs w:val="24"/>
              </w:rPr>
            </w:pPr>
            <w:r>
              <w:rPr>
                <w:rFonts w:cs="Arial"/>
                <w:szCs w:val="24"/>
              </w:rPr>
              <w:t>No</w:t>
            </w:r>
          </w:p>
        </w:tc>
        <w:tc>
          <w:tcPr>
            <w:tcW w:w="2154" w:type="dxa"/>
            <w:shd w:val="clear" w:color="auto" w:fill="BFBFBF"/>
          </w:tcPr>
          <w:p w14:paraId="139FE312" w14:textId="77777777" w:rsidR="002A63E9" w:rsidRPr="00ED5AD0" w:rsidRDefault="002A63E9" w:rsidP="002A63E9">
            <w:pPr>
              <w:rPr>
                <w:rFonts w:cs="Arial"/>
                <w:szCs w:val="24"/>
              </w:rPr>
            </w:pPr>
          </w:p>
        </w:tc>
      </w:tr>
      <w:tr w:rsidR="002A63E9" w:rsidRPr="00ED5AD0" w14:paraId="18BA4E59" w14:textId="77777777" w:rsidTr="000658E6">
        <w:tc>
          <w:tcPr>
            <w:tcW w:w="3686" w:type="dxa"/>
          </w:tcPr>
          <w:p w14:paraId="027DB17F" w14:textId="799A71BC" w:rsidR="002A63E9" w:rsidRPr="00ED5AD0" w:rsidRDefault="002A63E9" w:rsidP="002A63E9">
            <w:pPr>
              <w:rPr>
                <w:rFonts w:cs="Arial"/>
                <w:b/>
                <w:sz w:val="22"/>
                <w:szCs w:val="22"/>
              </w:rPr>
            </w:pPr>
            <w:r w:rsidRPr="00ED5AD0">
              <w:rPr>
                <w:rFonts w:cs="Arial"/>
                <w:b/>
                <w:sz w:val="22"/>
                <w:szCs w:val="22"/>
              </w:rPr>
              <w:t xml:space="preserve">Assistant Director - Band </w:t>
            </w:r>
            <w:r>
              <w:rPr>
                <w:rFonts w:cs="Arial"/>
                <w:b/>
                <w:sz w:val="22"/>
                <w:szCs w:val="22"/>
              </w:rPr>
              <w:t>3+5%</w:t>
            </w:r>
          </w:p>
          <w:p w14:paraId="7B349BEC" w14:textId="099BAB6F" w:rsidR="002A63E9" w:rsidRPr="00ED5AD0" w:rsidRDefault="002A63E9" w:rsidP="002A63E9">
            <w:pPr>
              <w:pStyle w:val="ListParagraph"/>
              <w:numPr>
                <w:ilvl w:val="0"/>
                <w:numId w:val="52"/>
              </w:numPr>
              <w:rPr>
                <w:rFonts w:cs="Arial"/>
                <w:sz w:val="22"/>
              </w:rPr>
            </w:pPr>
            <w:r w:rsidRPr="00ED5AD0">
              <w:rPr>
                <w:rFonts w:cs="Arial"/>
                <w:sz w:val="22"/>
              </w:rPr>
              <w:t xml:space="preserve">Assistant Director Governance &amp; Democracy (includes </w:t>
            </w:r>
            <w:r w:rsidRPr="00ED5AD0">
              <w:rPr>
                <w:rFonts w:cs="Arial"/>
                <w:sz w:val="22"/>
              </w:rPr>
              <w:lastRenderedPageBreak/>
              <w:t>Deputy Monitoring Officer</w:t>
            </w:r>
            <w:r>
              <w:rPr>
                <w:rFonts w:cs="Arial"/>
                <w:sz w:val="22"/>
              </w:rPr>
              <w:t>)</w:t>
            </w:r>
            <w:r w:rsidRPr="00ED5AD0">
              <w:rPr>
                <w:rFonts w:cs="Arial"/>
                <w:sz w:val="22"/>
              </w:rPr>
              <w:t>)</w:t>
            </w:r>
          </w:p>
          <w:p w14:paraId="0848F111" w14:textId="63A207A8" w:rsidR="002A63E9" w:rsidRPr="00ED5AD0" w:rsidRDefault="002A63E9" w:rsidP="002A63E9">
            <w:pPr>
              <w:pStyle w:val="ListParagraph"/>
              <w:numPr>
                <w:ilvl w:val="0"/>
                <w:numId w:val="52"/>
              </w:numPr>
              <w:rPr>
                <w:rFonts w:cs="Arial"/>
                <w:sz w:val="22"/>
              </w:rPr>
            </w:pPr>
            <w:r w:rsidRPr="00ED5AD0">
              <w:rPr>
                <w:rFonts w:cs="Arial"/>
                <w:sz w:val="22"/>
              </w:rPr>
              <w:t>Assistant Director of Finance &amp; Deputy 151 Officer</w:t>
            </w:r>
          </w:p>
          <w:p w14:paraId="2C4E9E1A" w14:textId="77777777" w:rsidR="002A63E9" w:rsidRPr="00ED5AD0" w:rsidRDefault="002A63E9" w:rsidP="002A63E9">
            <w:pPr>
              <w:rPr>
                <w:rFonts w:cs="Arial"/>
                <w:b/>
                <w:sz w:val="22"/>
              </w:rPr>
            </w:pPr>
          </w:p>
        </w:tc>
        <w:tc>
          <w:tcPr>
            <w:tcW w:w="1985" w:type="dxa"/>
          </w:tcPr>
          <w:p w14:paraId="5DB5F1CA" w14:textId="340C7733" w:rsidR="002A63E9" w:rsidRPr="00ED5AD0" w:rsidRDefault="002A63E9" w:rsidP="002A63E9">
            <w:pPr>
              <w:rPr>
                <w:rFonts w:cs="Arial"/>
                <w:sz w:val="20"/>
              </w:rPr>
            </w:pPr>
            <w:r>
              <w:rPr>
                <w:rFonts w:cs="Arial"/>
                <w:sz w:val="20"/>
              </w:rPr>
              <w:lastRenderedPageBreak/>
              <w:t xml:space="preserve"> £68,333</w:t>
            </w:r>
          </w:p>
          <w:p w14:paraId="6F51E495" w14:textId="5D45AA01" w:rsidR="002A63E9" w:rsidRPr="00ED5AD0" w:rsidRDefault="002A63E9" w:rsidP="002A63E9">
            <w:pPr>
              <w:rPr>
                <w:rFonts w:cs="Arial"/>
                <w:sz w:val="20"/>
              </w:rPr>
            </w:pPr>
            <w:r>
              <w:rPr>
                <w:rFonts w:cs="Arial"/>
                <w:sz w:val="20"/>
              </w:rPr>
              <w:t xml:space="preserve"> £70,699</w:t>
            </w:r>
          </w:p>
          <w:p w14:paraId="6D09CBC6" w14:textId="5497D755" w:rsidR="002A63E9" w:rsidRPr="00ED5AD0" w:rsidRDefault="002A63E9" w:rsidP="002A63E9">
            <w:pPr>
              <w:rPr>
                <w:rFonts w:cs="Arial"/>
                <w:sz w:val="20"/>
              </w:rPr>
            </w:pPr>
            <w:r>
              <w:rPr>
                <w:rFonts w:cs="Arial"/>
                <w:sz w:val="20"/>
              </w:rPr>
              <w:t xml:space="preserve"> £73,057</w:t>
            </w:r>
          </w:p>
        </w:tc>
        <w:tc>
          <w:tcPr>
            <w:tcW w:w="1559" w:type="dxa"/>
          </w:tcPr>
          <w:p w14:paraId="2BDB6716" w14:textId="77777777" w:rsidR="002A63E9" w:rsidRPr="00ED5AD0" w:rsidRDefault="002A63E9" w:rsidP="002A63E9">
            <w:pPr>
              <w:rPr>
                <w:rFonts w:cs="Arial"/>
                <w:szCs w:val="24"/>
              </w:rPr>
            </w:pPr>
            <w:r w:rsidRPr="00ED5AD0">
              <w:rPr>
                <w:rFonts w:cs="Arial"/>
                <w:szCs w:val="24"/>
              </w:rPr>
              <w:t>No</w:t>
            </w:r>
          </w:p>
        </w:tc>
        <w:tc>
          <w:tcPr>
            <w:tcW w:w="2154" w:type="dxa"/>
            <w:shd w:val="clear" w:color="auto" w:fill="BFBFBF"/>
          </w:tcPr>
          <w:p w14:paraId="1B0E9016" w14:textId="77777777" w:rsidR="002A63E9" w:rsidRPr="00ED5AD0" w:rsidRDefault="002A63E9" w:rsidP="002A63E9">
            <w:pPr>
              <w:rPr>
                <w:rFonts w:cs="Arial"/>
                <w:szCs w:val="24"/>
              </w:rPr>
            </w:pPr>
          </w:p>
        </w:tc>
      </w:tr>
      <w:tr w:rsidR="002A63E9" w:rsidRPr="00ED5AD0" w14:paraId="4F95089C" w14:textId="77777777" w:rsidTr="000658E6">
        <w:tc>
          <w:tcPr>
            <w:tcW w:w="3686" w:type="dxa"/>
          </w:tcPr>
          <w:p w14:paraId="3FB45954" w14:textId="350A3B99" w:rsidR="002A63E9" w:rsidRPr="00ED5AD0" w:rsidRDefault="002A63E9" w:rsidP="002A63E9">
            <w:pPr>
              <w:rPr>
                <w:rFonts w:cs="Arial"/>
                <w:b/>
                <w:sz w:val="22"/>
                <w:szCs w:val="22"/>
              </w:rPr>
            </w:pPr>
            <w:r w:rsidRPr="00ED5AD0">
              <w:rPr>
                <w:rFonts w:cs="Arial"/>
                <w:b/>
                <w:sz w:val="22"/>
                <w:szCs w:val="22"/>
              </w:rPr>
              <w:t>Assistant Director – Band 3</w:t>
            </w:r>
          </w:p>
          <w:p w14:paraId="04D3C4D6" w14:textId="201A107F" w:rsidR="002A63E9" w:rsidRPr="00ED5AD0" w:rsidRDefault="002A63E9" w:rsidP="002A63E9">
            <w:pPr>
              <w:pStyle w:val="ListParagraph"/>
              <w:numPr>
                <w:ilvl w:val="0"/>
                <w:numId w:val="53"/>
              </w:numPr>
              <w:rPr>
                <w:rFonts w:cs="Arial"/>
                <w:sz w:val="22"/>
              </w:rPr>
            </w:pPr>
            <w:r w:rsidRPr="00ED5AD0">
              <w:rPr>
                <w:rFonts w:cs="Arial"/>
                <w:sz w:val="22"/>
              </w:rPr>
              <w:t>Assistant Director of Workforce</w:t>
            </w:r>
          </w:p>
          <w:p w14:paraId="387EACA5" w14:textId="77777777" w:rsidR="002A63E9" w:rsidRPr="00ED5AD0" w:rsidRDefault="002A63E9" w:rsidP="002A63E9">
            <w:pPr>
              <w:pStyle w:val="ListParagraph"/>
              <w:numPr>
                <w:ilvl w:val="0"/>
                <w:numId w:val="53"/>
              </w:numPr>
              <w:rPr>
                <w:rFonts w:cs="Arial"/>
                <w:sz w:val="22"/>
              </w:rPr>
            </w:pPr>
            <w:r w:rsidRPr="00ED5AD0">
              <w:rPr>
                <w:rFonts w:cs="Arial"/>
                <w:sz w:val="22"/>
              </w:rPr>
              <w:t>Assistant Director of Development</w:t>
            </w:r>
          </w:p>
          <w:p w14:paraId="4B32E6A3" w14:textId="0227A50F" w:rsidR="002A63E9" w:rsidRPr="00ED5AD0" w:rsidRDefault="002A63E9" w:rsidP="002A63E9">
            <w:pPr>
              <w:pStyle w:val="ListParagraph"/>
              <w:numPr>
                <w:ilvl w:val="0"/>
                <w:numId w:val="53"/>
              </w:numPr>
              <w:rPr>
                <w:rFonts w:cs="Arial"/>
                <w:b/>
                <w:sz w:val="22"/>
              </w:rPr>
            </w:pPr>
            <w:r w:rsidRPr="00ED5AD0">
              <w:rPr>
                <w:rFonts w:cs="Arial"/>
                <w:sz w:val="22"/>
              </w:rPr>
              <w:t>Assistant Director of Digital, Data &amp; Technology</w:t>
            </w:r>
          </w:p>
        </w:tc>
        <w:tc>
          <w:tcPr>
            <w:tcW w:w="1985" w:type="dxa"/>
          </w:tcPr>
          <w:p w14:paraId="3B339249" w14:textId="45A959E6" w:rsidR="002A63E9" w:rsidRDefault="002A63E9" w:rsidP="002A63E9">
            <w:pPr>
              <w:rPr>
                <w:rFonts w:cs="Arial"/>
                <w:sz w:val="20"/>
              </w:rPr>
            </w:pPr>
            <w:r>
              <w:rPr>
                <w:rFonts w:cs="Arial"/>
                <w:sz w:val="20"/>
              </w:rPr>
              <w:t>£65,079</w:t>
            </w:r>
          </w:p>
          <w:p w14:paraId="7D3B78FA" w14:textId="06230CBB" w:rsidR="002A63E9" w:rsidRDefault="002A63E9" w:rsidP="002A63E9">
            <w:pPr>
              <w:rPr>
                <w:rFonts w:cs="Arial"/>
                <w:sz w:val="20"/>
              </w:rPr>
            </w:pPr>
            <w:r>
              <w:rPr>
                <w:rFonts w:cs="Arial"/>
                <w:sz w:val="20"/>
              </w:rPr>
              <w:t>£67,332</w:t>
            </w:r>
          </w:p>
          <w:p w14:paraId="4D30AD18" w14:textId="74C2A299" w:rsidR="002A63E9" w:rsidRPr="00ED5AD0" w:rsidRDefault="002A63E9" w:rsidP="002A63E9">
            <w:pPr>
              <w:rPr>
                <w:rFonts w:cs="Arial"/>
                <w:sz w:val="20"/>
              </w:rPr>
            </w:pPr>
            <w:r>
              <w:rPr>
                <w:rFonts w:cs="Arial"/>
                <w:sz w:val="20"/>
              </w:rPr>
              <w:t>£69,579</w:t>
            </w:r>
          </w:p>
          <w:p w14:paraId="781A277B" w14:textId="2F28E2B5" w:rsidR="002A63E9" w:rsidRPr="00ED5AD0" w:rsidRDefault="002A63E9" w:rsidP="002A63E9">
            <w:pPr>
              <w:rPr>
                <w:rFonts w:cs="Arial"/>
                <w:sz w:val="20"/>
              </w:rPr>
            </w:pPr>
          </w:p>
        </w:tc>
        <w:tc>
          <w:tcPr>
            <w:tcW w:w="1559" w:type="dxa"/>
          </w:tcPr>
          <w:p w14:paraId="1E6989C7" w14:textId="77777777" w:rsidR="002A63E9" w:rsidRPr="00ED5AD0" w:rsidRDefault="002A63E9" w:rsidP="002A63E9">
            <w:r w:rsidRPr="00ED5AD0">
              <w:rPr>
                <w:rFonts w:cs="Arial"/>
                <w:szCs w:val="24"/>
              </w:rPr>
              <w:t>No</w:t>
            </w:r>
          </w:p>
        </w:tc>
        <w:tc>
          <w:tcPr>
            <w:tcW w:w="2154" w:type="dxa"/>
            <w:shd w:val="clear" w:color="auto" w:fill="BFBFBF"/>
          </w:tcPr>
          <w:p w14:paraId="51D766F1" w14:textId="77777777" w:rsidR="002A63E9" w:rsidRPr="00ED5AD0" w:rsidRDefault="002A63E9" w:rsidP="002A63E9">
            <w:pPr>
              <w:rPr>
                <w:rFonts w:cs="Arial"/>
                <w:szCs w:val="24"/>
              </w:rPr>
            </w:pPr>
          </w:p>
        </w:tc>
      </w:tr>
      <w:tr w:rsidR="002A63E9" w:rsidRPr="00ED5AD0" w14:paraId="5BD282DB" w14:textId="77777777" w:rsidTr="000658E6">
        <w:tc>
          <w:tcPr>
            <w:tcW w:w="3686" w:type="dxa"/>
          </w:tcPr>
          <w:p w14:paraId="44E98E1C" w14:textId="649D31A0" w:rsidR="002A63E9" w:rsidRPr="00ED5AD0" w:rsidRDefault="002A63E9" w:rsidP="002A63E9">
            <w:pPr>
              <w:rPr>
                <w:rFonts w:cs="Arial"/>
                <w:b/>
                <w:sz w:val="22"/>
                <w:szCs w:val="22"/>
              </w:rPr>
            </w:pPr>
            <w:r w:rsidRPr="00ED5AD0">
              <w:rPr>
                <w:rFonts w:cs="Arial"/>
                <w:b/>
                <w:sz w:val="22"/>
                <w:szCs w:val="22"/>
              </w:rPr>
              <w:t>Assistant Director – Band 2</w:t>
            </w:r>
          </w:p>
          <w:p w14:paraId="7AC70DB5" w14:textId="77777777" w:rsidR="002A63E9" w:rsidRPr="00ED5AD0" w:rsidRDefault="002A63E9" w:rsidP="002A63E9">
            <w:pPr>
              <w:rPr>
                <w:rFonts w:cs="Arial"/>
                <w:b/>
                <w:sz w:val="22"/>
                <w:szCs w:val="22"/>
              </w:rPr>
            </w:pPr>
          </w:p>
          <w:p w14:paraId="0B762790" w14:textId="77777777" w:rsidR="002A63E9" w:rsidRPr="00ED5AD0" w:rsidRDefault="002A63E9" w:rsidP="002A63E9">
            <w:pPr>
              <w:pStyle w:val="ListParagraph"/>
              <w:numPr>
                <w:ilvl w:val="0"/>
                <w:numId w:val="55"/>
              </w:numPr>
              <w:rPr>
                <w:rFonts w:cs="Arial"/>
                <w:bCs/>
                <w:sz w:val="22"/>
              </w:rPr>
            </w:pPr>
            <w:r w:rsidRPr="00ED5AD0">
              <w:rPr>
                <w:rFonts w:cs="Arial"/>
                <w:bCs/>
                <w:sz w:val="22"/>
              </w:rPr>
              <w:t>Assistant Director of Customer Engagement</w:t>
            </w:r>
          </w:p>
          <w:p w14:paraId="0DD9FB68" w14:textId="76E0514A" w:rsidR="002A63E9" w:rsidRPr="00ED5AD0" w:rsidRDefault="002A63E9" w:rsidP="002A63E9">
            <w:pPr>
              <w:pStyle w:val="ListParagraph"/>
              <w:numPr>
                <w:ilvl w:val="0"/>
                <w:numId w:val="55"/>
              </w:numPr>
              <w:rPr>
                <w:rFonts w:cs="Arial"/>
                <w:bCs/>
                <w:sz w:val="22"/>
              </w:rPr>
            </w:pPr>
            <w:r w:rsidRPr="00ED5AD0">
              <w:rPr>
                <w:rFonts w:cs="Arial"/>
                <w:bCs/>
                <w:sz w:val="22"/>
              </w:rPr>
              <w:t>Assistant Director for Housing &amp; Resettlement (new role TBC)</w:t>
            </w:r>
          </w:p>
          <w:p w14:paraId="60AA2B09" w14:textId="285C86C8" w:rsidR="002A63E9" w:rsidRPr="00ED5AD0" w:rsidRDefault="002A63E9" w:rsidP="002A63E9">
            <w:pPr>
              <w:pStyle w:val="ListParagraph"/>
              <w:numPr>
                <w:ilvl w:val="0"/>
                <w:numId w:val="55"/>
              </w:numPr>
              <w:rPr>
                <w:rFonts w:cs="Arial"/>
                <w:bCs/>
                <w:sz w:val="22"/>
              </w:rPr>
            </w:pPr>
            <w:r w:rsidRPr="00ED5AD0">
              <w:rPr>
                <w:rFonts w:cs="Arial"/>
                <w:bCs/>
                <w:sz w:val="22"/>
              </w:rPr>
              <w:t>Assistant Director for Economic Growth &amp; Regeneration (new role TBC)</w:t>
            </w:r>
          </w:p>
          <w:p w14:paraId="0A87C0E0" w14:textId="214C8D44" w:rsidR="002A63E9" w:rsidRPr="00ED5AD0" w:rsidRDefault="002A63E9" w:rsidP="002A63E9">
            <w:pPr>
              <w:pStyle w:val="ListParagraph"/>
              <w:numPr>
                <w:ilvl w:val="0"/>
                <w:numId w:val="55"/>
              </w:numPr>
              <w:rPr>
                <w:rFonts w:cs="Arial"/>
                <w:bCs/>
                <w:sz w:val="22"/>
              </w:rPr>
            </w:pPr>
            <w:r w:rsidRPr="00ED5AD0">
              <w:rPr>
                <w:rFonts w:cs="Arial"/>
                <w:bCs/>
                <w:sz w:val="22"/>
              </w:rPr>
              <w:t>Assistant Director for Revenues &amp; Benefits (new role TBC)</w:t>
            </w:r>
          </w:p>
          <w:p w14:paraId="6AC8615F" w14:textId="0D1C6781" w:rsidR="002A63E9" w:rsidRPr="00ED5AD0" w:rsidRDefault="002A63E9" w:rsidP="002A63E9">
            <w:pPr>
              <w:ind w:left="360"/>
              <w:rPr>
                <w:rFonts w:cs="Arial"/>
                <w:bCs/>
                <w:sz w:val="22"/>
              </w:rPr>
            </w:pPr>
          </w:p>
        </w:tc>
        <w:tc>
          <w:tcPr>
            <w:tcW w:w="1985" w:type="dxa"/>
          </w:tcPr>
          <w:p w14:paraId="412C9B43" w14:textId="77777777" w:rsidR="002A63E9" w:rsidRPr="00ED5AD0" w:rsidRDefault="002A63E9" w:rsidP="002A63E9">
            <w:pPr>
              <w:rPr>
                <w:rFonts w:cs="Arial"/>
                <w:sz w:val="20"/>
              </w:rPr>
            </w:pPr>
            <w:r w:rsidRPr="00ED5AD0">
              <w:rPr>
                <w:rFonts w:cs="Arial"/>
                <w:sz w:val="20"/>
              </w:rPr>
              <w:t>£56,076</w:t>
            </w:r>
          </w:p>
          <w:p w14:paraId="2EC32D7C" w14:textId="77777777" w:rsidR="002A63E9" w:rsidRPr="00ED5AD0" w:rsidRDefault="002A63E9" w:rsidP="002A63E9">
            <w:pPr>
              <w:rPr>
                <w:rFonts w:cs="Arial"/>
                <w:sz w:val="20"/>
              </w:rPr>
            </w:pPr>
            <w:r w:rsidRPr="00ED5AD0">
              <w:rPr>
                <w:rFonts w:cs="Arial"/>
                <w:sz w:val="20"/>
              </w:rPr>
              <w:t>£58,323</w:t>
            </w:r>
          </w:p>
          <w:p w14:paraId="244C63D6" w14:textId="6682F6F1" w:rsidR="002A63E9" w:rsidRPr="00ED5AD0" w:rsidRDefault="002A63E9" w:rsidP="002A63E9">
            <w:pPr>
              <w:rPr>
                <w:rFonts w:cs="Arial"/>
                <w:sz w:val="20"/>
              </w:rPr>
            </w:pPr>
            <w:r w:rsidRPr="00ED5AD0">
              <w:rPr>
                <w:rFonts w:cs="Arial"/>
                <w:sz w:val="20"/>
              </w:rPr>
              <w:t>£60,573</w:t>
            </w:r>
          </w:p>
        </w:tc>
        <w:tc>
          <w:tcPr>
            <w:tcW w:w="1559" w:type="dxa"/>
          </w:tcPr>
          <w:p w14:paraId="219ED8FE" w14:textId="43ED88F7" w:rsidR="002A63E9" w:rsidRPr="00ED5AD0" w:rsidRDefault="002A63E9" w:rsidP="002A63E9">
            <w:pPr>
              <w:rPr>
                <w:rFonts w:cs="Arial"/>
                <w:szCs w:val="24"/>
              </w:rPr>
            </w:pPr>
            <w:r>
              <w:rPr>
                <w:rFonts w:cs="Arial"/>
                <w:szCs w:val="24"/>
              </w:rPr>
              <w:t>No</w:t>
            </w:r>
          </w:p>
        </w:tc>
        <w:tc>
          <w:tcPr>
            <w:tcW w:w="2154" w:type="dxa"/>
            <w:shd w:val="clear" w:color="auto" w:fill="BFBFBF"/>
          </w:tcPr>
          <w:p w14:paraId="65F7505A" w14:textId="77777777" w:rsidR="002A63E9" w:rsidRPr="00ED5AD0" w:rsidRDefault="002A63E9" w:rsidP="002A63E9">
            <w:pPr>
              <w:rPr>
                <w:rFonts w:cs="Arial"/>
                <w:szCs w:val="24"/>
              </w:rPr>
            </w:pPr>
          </w:p>
        </w:tc>
      </w:tr>
    </w:tbl>
    <w:p w14:paraId="23783971" w14:textId="77777777" w:rsidR="00644A98" w:rsidRPr="00ED5AD0" w:rsidRDefault="00AD58BC" w:rsidP="00D32888">
      <w:pPr>
        <w:numPr>
          <w:ilvl w:val="0"/>
          <w:numId w:val="17"/>
        </w:numPr>
        <w:rPr>
          <w:rFonts w:cs="Arial"/>
          <w:sz w:val="20"/>
        </w:rPr>
      </w:pPr>
      <w:r w:rsidRPr="00ED5AD0">
        <w:rPr>
          <w:rFonts w:cs="Arial"/>
          <w:sz w:val="20"/>
        </w:rPr>
        <w:t xml:space="preserve">As defined in </w:t>
      </w:r>
      <w:r w:rsidR="00A72FDC" w:rsidRPr="00ED5AD0">
        <w:rPr>
          <w:rFonts w:cs="Arial"/>
          <w:sz w:val="20"/>
        </w:rPr>
        <w:t xml:space="preserve">Recommended Code of Practice for </w:t>
      </w:r>
      <w:r w:rsidRPr="00ED5AD0">
        <w:rPr>
          <w:rFonts w:cs="Arial"/>
          <w:sz w:val="20"/>
        </w:rPr>
        <w:t>Data Transparency</w:t>
      </w:r>
    </w:p>
    <w:p w14:paraId="564065B0" w14:textId="6D9ACE8D" w:rsidR="002E610F" w:rsidRPr="00ED5AD0" w:rsidRDefault="002E610F" w:rsidP="00D32888">
      <w:pPr>
        <w:numPr>
          <w:ilvl w:val="0"/>
          <w:numId w:val="17"/>
        </w:numPr>
        <w:rPr>
          <w:rFonts w:cs="Arial"/>
          <w:sz w:val="20"/>
        </w:rPr>
      </w:pPr>
      <w:r w:rsidRPr="00ED5AD0">
        <w:rPr>
          <w:rFonts w:cs="Arial"/>
          <w:sz w:val="20"/>
        </w:rPr>
        <w:t>Total current gross expenditure budget (20</w:t>
      </w:r>
      <w:r w:rsidR="00FE5D08" w:rsidRPr="00ED5AD0">
        <w:rPr>
          <w:rFonts w:cs="Arial"/>
          <w:sz w:val="20"/>
        </w:rPr>
        <w:t>2</w:t>
      </w:r>
      <w:r w:rsidR="00B71B6D" w:rsidRPr="00ED5AD0">
        <w:rPr>
          <w:rFonts w:cs="Arial"/>
          <w:sz w:val="20"/>
        </w:rPr>
        <w:t>4</w:t>
      </w:r>
      <w:r w:rsidRPr="00ED5AD0">
        <w:rPr>
          <w:rFonts w:cs="Arial"/>
          <w:sz w:val="20"/>
        </w:rPr>
        <w:t>/</w:t>
      </w:r>
      <w:r w:rsidR="00FE5D08" w:rsidRPr="00ED5AD0">
        <w:rPr>
          <w:rFonts w:cs="Arial"/>
          <w:sz w:val="20"/>
        </w:rPr>
        <w:t>2</w:t>
      </w:r>
      <w:r w:rsidR="00B71B6D" w:rsidRPr="00ED5AD0">
        <w:rPr>
          <w:rFonts w:cs="Arial"/>
          <w:sz w:val="20"/>
        </w:rPr>
        <w:t>5</w:t>
      </w:r>
      <w:r w:rsidRPr="00ED5AD0">
        <w:rPr>
          <w:rFonts w:cs="Arial"/>
          <w:sz w:val="20"/>
        </w:rPr>
        <w:t>); includes employee costs</w:t>
      </w:r>
      <w:r w:rsidR="00A95F0E" w:rsidRPr="00ED5AD0">
        <w:rPr>
          <w:rFonts w:cs="Arial"/>
          <w:sz w:val="20"/>
        </w:rPr>
        <w:t xml:space="preserve">. </w:t>
      </w:r>
      <w:r w:rsidR="00021C22" w:rsidRPr="00ED5AD0">
        <w:rPr>
          <w:rFonts w:cs="Arial"/>
          <w:sz w:val="20"/>
        </w:rPr>
        <w:t xml:space="preserve"> </w:t>
      </w:r>
    </w:p>
    <w:p w14:paraId="7F89EF45" w14:textId="77777777" w:rsidR="00DF103A" w:rsidRPr="00ED5AD0" w:rsidRDefault="00644A98" w:rsidP="00644A98">
      <w:pPr>
        <w:ind w:left="360"/>
        <w:rPr>
          <w:rFonts w:cs="Arial"/>
          <w:szCs w:val="24"/>
        </w:rPr>
      </w:pPr>
      <w:r w:rsidRPr="00ED5AD0">
        <w:rPr>
          <w:rFonts w:cs="Arial"/>
          <w:szCs w:val="24"/>
        </w:rPr>
        <w:t xml:space="preserve">   </w:t>
      </w:r>
    </w:p>
    <w:p w14:paraId="69AD1E34" w14:textId="77777777" w:rsidR="009A4C79" w:rsidRPr="00ED5AD0" w:rsidRDefault="003260D8" w:rsidP="0007286B">
      <w:pPr>
        <w:rPr>
          <w:rFonts w:cs="Arial"/>
          <w:szCs w:val="24"/>
        </w:rPr>
      </w:pPr>
      <w:r w:rsidRPr="00ED5AD0">
        <w:rPr>
          <w:rFonts w:cs="Arial"/>
          <w:szCs w:val="24"/>
        </w:rPr>
        <w:br w:type="page"/>
      </w:r>
    </w:p>
    <w:p w14:paraId="316C9FB6" w14:textId="77777777" w:rsidR="00DF103A" w:rsidRPr="00ED5AD0" w:rsidRDefault="00DF103A" w:rsidP="00D32888">
      <w:pPr>
        <w:numPr>
          <w:ilvl w:val="0"/>
          <w:numId w:val="5"/>
        </w:numPr>
        <w:rPr>
          <w:rFonts w:cs="Arial"/>
          <w:b/>
          <w:szCs w:val="24"/>
        </w:rPr>
      </w:pPr>
      <w:r w:rsidRPr="00ED5AD0">
        <w:rPr>
          <w:rFonts w:cs="Arial"/>
          <w:b/>
          <w:szCs w:val="24"/>
        </w:rPr>
        <w:lastRenderedPageBreak/>
        <w:t xml:space="preserve">Setting the </w:t>
      </w:r>
      <w:r w:rsidR="00A12001" w:rsidRPr="00ED5AD0">
        <w:rPr>
          <w:rFonts w:cs="Arial"/>
          <w:b/>
          <w:szCs w:val="24"/>
        </w:rPr>
        <w:t>s</w:t>
      </w:r>
      <w:r w:rsidRPr="00ED5AD0">
        <w:rPr>
          <w:rFonts w:cs="Arial"/>
          <w:b/>
          <w:szCs w:val="24"/>
        </w:rPr>
        <w:t>cene</w:t>
      </w:r>
    </w:p>
    <w:p w14:paraId="2F37D565" w14:textId="77777777" w:rsidR="004323A4" w:rsidRPr="00ED5AD0" w:rsidRDefault="004323A4" w:rsidP="00F30599">
      <w:pPr>
        <w:ind w:left="426"/>
        <w:rPr>
          <w:rFonts w:cs="Arial"/>
          <w:szCs w:val="24"/>
        </w:rPr>
      </w:pPr>
    </w:p>
    <w:p w14:paraId="0C025A16" w14:textId="77777777" w:rsidR="004323A4" w:rsidRPr="00ED5AD0" w:rsidRDefault="00812883" w:rsidP="00F30599">
      <w:pPr>
        <w:ind w:left="426"/>
        <w:rPr>
          <w:rFonts w:cs="Arial"/>
          <w:b/>
          <w:szCs w:val="24"/>
        </w:rPr>
      </w:pPr>
      <w:r w:rsidRPr="00ED5AD0">
        <w:rPr>
          <w:rFonts w:cs="Arial"/>
          <w:b/>
          <w:szCs w:val="24"/>
        </w:rPr>
        <w:t xml:space="preserve">3.1 </w:t>
      </w:r>
      <w:r w:rsidR="00175585" w:rsidRPr="00ED5AD0">
        <w:rPr>
          <w:rFonts w:cs="Arial"/>
          <w:b/>
          <w:szCs w:val="24"/>
        </w:rPr>
        <w:t xml:space="preserve">Pay Strategy </w:t>
      </w:r>
      <w:r w:rsidR="004A1632" w:rsidRPr="00ED5AD0">
        <w:rPr>
          <w:rFonts w:cs="Arial"/>
          <w:b/>
          <w:szCs w:val="24"/>
        </w:rPr>
        <w:t xml:space="preserve"> </w:t>
      </w:r>
    </w:p>
    <w:p w14:paraId="5146C207" w14:textId="5D1BD3C9" w:rsidR="00175585" w:rsidRPr="00ED5AD0" w:rsidRDefault="00175585" w:rsidP="00812883">
      <w:pPr>
        <w:ind w:left="426"/>
        <w:jc w:val="both"/>
        <w:rPr>
          <w:rFonts w:cs="Arial"/>
          <w:szCs w:val="24"/>
        </w:rPr>
      </w:pPr>
      <w:r w:rsidRPr="00ED5AD0">
        <w:rPr>
          <w:rFonts w:cs="Arial"/>
          <w:szCs w:val="24"/>
        </w:rPr>
        <w:t xml:space="preserve">The Council’s Pay Strategy is shown at </w:t>
      </w:r>
      <w:r w:rsidRPr="00ED5AD0">
        <w:rPr>
          <w:rFonts w:cs="Arial"/>
          <w:b/>
          <w:bCs/>
          <w:szCs w:val="24"/>
        </w:rPr>
        <w:t>Appendix A.</w:t>
      </w:r>
      <w:r w:rsidRPr="00ED5AD0">
        <w:rPr>
          <w:rFonts w:cs="Arial"/>
          <w:szCs w:val="24"/>
        </w:rPr>
        <w:t xml:space="preserve"> This document encapsulates both strategic prin</w:t>
      </w:r>
      <w:r w:rsidR="00812883" w:rsidRPr="00ED5AD0">
        <w:rPr>
          <w:rFonts w:cs="Arial"/>
          <w:szCs w:val="24"/>
        </w:rPr>
        <w:t>ciples and operational practices; it gives direction and intent and guidance for the practical application of these principles.</w:t>
      </w:r>
      <w:r w:rsidRPr="00ED5AD0">
        <w:rPr>
          <w:rFonts w:cs="Arial"/>
          <w:szCs w:val="24"/>
        </w:rPr>
        <w:t xml:space="preserve">   </w:t>
      </w:r>
    </w:p>
    <w:p w14:paraId="228E5DB0" w14:textId="77777777" w:rsidR="00812883" w:rsidRPr="00ED5AD0" w:rsidRDefault="00812883" w:rsidP="00812883">
      <w:pPr>
        <w:ind w:left="426"/>
        <w:jc w:val="both"/>
        <w:rPr>
          <w:rFonts w:cs="Arial"/>
          <w:b/>
          <w:szCs w:val="24"/>
        </w:rPr>
      </w:pPr>
    </w:p>
    <w:p w14:paraId="4AACE5EE" w14:textId="77777777" w:rsidR="00812883" w:rsidRPr="00ED5AD0" w:rsidRDefault="00812883" w:rsidP="00812883">
      <w:pPr>
        <w:ind w:left="426"/>
        <w:jc w:val="both"/>
        <w:rPr>
          <w:rFonts w:cs="Arial"/>
          <w:b/>
          <w:szCs w:val="24"/>
        </w:rPr>
      </w:pPr>
      <w:r w:rsidRPr="00ED5AD0">
        <w:rPr>
          <w:rFonts w:cs="Arial"/>
          <w:b/>
          <w:szCs w:val="24"/>
        </w:rPr>
        <w:t>3.2 Gender Pay Gap</w:t>
      </w:r>
    </w:p>
    <w:p w14:paraId="65FDAFC1" w14:textId="77777777" w:rsidR="00812883" w:rsidRPr="00ED5AD0" w:rsidRDefault="00812883" w:rsidP="00812883">
      <w:pPr>
        <w:ind w:left="426"/>
        <w:rPr>
          <w:snapToGrid w:val="0"/>
        </w:rPr>
      </w:pPr>
      <w:r w:rsidRPr="00ED5AD0">
        <w:rPr>
          <w:snapToGrid w:val="0"/>
        </w:rPr>
        <w:t>From 2017, any organisation that has 250 or more employees must publish and report specific figures about their gender pay gap.</w:t>
      </w:r>
    </w:p>
    <w:p w14:paraId="504C6637" w14:textId="77777777" w:rsidR="00812883" w:rsidRPr="00ED5AD0" w:rsidRDefault="00812883" w:rsidP="00812883">
      <w:pPr>
        <w:ind w:left="426"/>
        <w:rPr>
          <w:snapToGrid w:val="0"/>
        </w:rPr>
      </w:pPr>
    </w:p>
    <w:p w14:paraId="1DFA236D" w14:textId="77777777" w:rsidR="00812883" w:rsidRPr="00ED5AD0" w:rsidRDefault="00812883" w:rsidP="00812883">
      <w:pPr>
        <w:ind w:left="426"/>
        <w:rPr>
          <w:snapToGrid w:val="0"/>
        </w:rPr>
      </w:pPr>
      <w:r w:rsidRPr="00ED5AD0">
        <w:rPr>
          <w:snapToGrid w:val="0"/>
        </w:rPr>
        <w:t xml:space="preserve">The gender pay gap is the difference between the average earnings of men and women, expressed relative to men’s earnings. </w:t>
      </w:r>
    </w:p>
    <w:p w14:paraId="202DBF1A" w14:textId="77777777" w:rsidR="00812883" w:rsidRPr="00ED5AD0" w:rsidRDefault="00812883" w:rsidP="00812883">
      <w:pPr>
        <w:ind w:left="426"/>
        <w:rPr>
          <w:snapToGrid w:val="0"/>
        </w:rPr>
      </w:pPr>
    </w:p>
    <w:p w14:paraId="16090C42" w14:textId="77777777" w:rsidR="00812883" w:rsidRPr="00ED5AD0" w:rsidRDefault="00812883" w:rsidP="00812883">
      <w:pPr>
        <w:ind w:left="426"/>
        <w:rPr>
          <w:snapToGrid w:val="0"/>
        </w:rPr>
      </w:pPr>
      <w:r w:rsidRPr="00ED5AD0">
        <w:rPr>
          <w:snapToGrid w:val="0"/>
        </w:rPr>
        <w:t xml:space="preserve">The data to be collected, relevant </w:t>
      </w:r>
      <w:proofErr w:type="gramStart"/>
      <w:r w:rsidRPr="00ED5AD0">
        <w:rPr>
          <w:snapToGrid w:val="0"/>
        </w:rPr>
        <w:t>at</w:t>
      </w:r>
      <w:proofErr w:type="gramEnd"/>
      <w:r w:rsidRPr="00ED5AD0">
        <w:rPr>
          <w:snapToGrid w:val="0"/>
        </w:rPr>
        <w:t xml:space="preserve"> 31 March 2017 and at that “snapshot date” each year thereafter is the:</w:t>
      </w:r>
    </w:p>
    <w:p w14:paraId="74280236" w14:textId="77777777" w:rsidR="00812883" w:rsidRPr="00ED5AD0" w:rsidRDefault="00812883" w:rsidP="00812883">
      <w:pPr>
        <w:ind w:left="426"/>
        <w:rPr>
          <w:snapToGrid w:val="0"/>
        </w:rPr>
      </w:pPr>
      <w:r w:rsidRPr="00ED5AD0">
        <w:rPr>
          <w:snapToGrid w:val="0"/>
        </w:rPr>
        <w:t>- Mean gender pay gap</w:t>
      </w:r>
    </w:p>
    <w:p w14:paraId="3DE9C156" w14:textId="77777777" w:rsidR="00812883" w:rsidRPr="00ED5AD0" w:rsidRDefault="00812883" w:rsidP="00812883">
      <w:pPr>
        <w:ind w:left="426"/>
        <w:rPr>
          <w:snapToGrid w:val="0"/>
        </w:rPr>
      </w:pPr>
      <w:r w:rsidRPr="00ED5AD0">
        <w:rPr>
          <w:snapToGrid w:val="0"/>
        </w:rPr>
        <w:t>- Median gender pay gap</w:t>
      </w:r>
    </w:p>
    <w:p w14:paraId="4BAAD37D" w14:textId="77777777" w:rsidR="00812883" w:rsidRPr="00ED5AD0" w:rsidRDefault="00812883" w:rsidP="00812883">
      <w:pPr>
        <w:ind w:left="426"/>
        <w:rPr>
          <w:snapToGrid w:val="0"/>
        </w:rPr>
      </w:pPr>
      <w:r w:rsidRPr="00ED5AD0">
        <w:rPr>
          <w:snapToGrid w:val="0"/>
        </w:rPr>
        <w:t>- Mean gender pay gap in bonus pay</w:t>
      </w:r>
    </w:p>
    <w:p w14:paraId="738034AE" w14:textId="77777777" w:rsidR="00812883" w:rsidRPr="00ED5AD0" w:rsidRDefault="00812883" w:rsidP="00812883">
      <w:pPr>
        <w:ind w:left="426"/>
        <w:rPr>
          <w:snapToGrid w:val="0"/>
        </w:rPr>
      </w:pPr>
      <w:r w:rsidRPr="00ED5AD0">
        <w:rPr>
          <w:snapToGrid w:val="0"/>
        </w:rPr>
        <w:t>- Median gender pay gap in bonus pay</w:t>
      </w:r>
    </w:p>
    <w:p w14:paraId="1871E1FD" w14:textId="77777777" w:rsidR="00812883" w:rsidRPr="00ED5AD0" w:rsidRDefault="00812883" w:rsidP="00812883">
      <w:pPr>
        <w:ind w:left="426"/>
        <w:rPr>
          <w:snapToGrid w:val="0"/>
        </w:rPr>
      </w:pPr>
      <w:r w:rsidRPr="00ED5AD0">
        <w:rPr>
          <w:snapToGrid w:val="0"/>
        </w:rPr>
        <w:t>- Percentage of males and females in each of the four pay quartiles.</w:t>
      </w:r>
    </w:p>
    <w:p w14:paraId="63F7543D" w14:textId="77777777" w:rsidR="00812883" w:rsidRPr="00ED5AD0" w:rsidRDefault="00812883" w:rsidP="00812883">
      <w:pPr>
        <w:ind w:left="426"/>
        <w:rPr>
          <w:snapToGrid w:val="0"/>
        </w:rPr>
      </w:pPr>
    </w:p>
    <w:p w14:paraId="2267A43E" w14:textId="77777777" w:rsidR="00812883" w:rsidRPr="00ED5AD0" w:rsidRDefault="007C7B54" w:rsidP="00812883">
      <w:pPr>
        <w:ind w:left="426"/>
        <w:rPr>
          <w:snapToGrid w:val="0"/>
        </w:rPr>
      </w:pPr>
      <w:r w:rsidRPr="00ED5AD0">
        <w:rPr>
          <w:snapToGrid w:val="0"/>
        </w:rPr>
        <w:t>As required in law, both our</w:t>
      </w:r>
      <w:r w:rsidR="00812883" w:rsidRPr="00ED5AD0">
        <w:rPr>
          <w:snapToGrid w:val="0"/>
        </w:rPr>
        <w:t xml:space="preserve"> </w:t>
      </w:r>
      <w:hyperlink r:id="rId11" w:history="1">
        <w:r w:rsidR="00812883" w:rsidRPr="00ED5AD0">
          <w:rPr>
            <w:snapToGrid w:val="0"/>
          </w:rPr>
          <w:t>gender pay gap data and a written statement</w:t>
        </w:r>
      </w:hyperlink>
      <w:r w:rsidR="00812883" w:rsidRPr="00ED5AD0">
        <w:rPr>
          <w:snapToGrid w:val="0"/>
        </w:rPr>
        <w:t xml:space="preserve"> </w:t>
      </w:r>
      <w:r w:rsidRPr="00ED5AD0">
        <w:rPr>
          <w:snapToGrid w:val="0"/>
        </w:rPr>
        <w:t xml:space="preserve">to add context to the data are available </w:t>
      </w:r>
      <w:r w:rsidR="00812883" w:rsidRPr="00ED5AD0">
        <w:rPr>
          <w:snapToGrid w:val="0"/>
        </w:rPr>
        <w:t xml:space="preserve">on </w:t>
      </w:r>
      <w:r w:rsidRPr="00ED5AD0">
        <w:rPr>
          <w:snapToGrid w:val="0"/>
        </w:rPr>
        <w:t xml:space="preserve">our </w:t>
      </w:r>
      <w:r w:rsidR="00812883" w:rsidRPr="00ED5AD0">
        <w:rPr>
          <w:snapToGrid w:val="0"/>
        </w:rPr>
        <w:t>public-facing website</w:t>
      </w:r>
      <w:r w:rsidRPr="00ED5AD0">
        <w:t xml:space="preserve"> </w:t>
      </w:r>
      <w:hyperlink r:id="rId12" w:history="1">
        <w:r w:rsidRPr="00ED5AD0">
          <w:rPr>
            <w:rStyle w:val="Hyperlink"/>
            <w:snapToGrid w:val="0"/>
          </w:rPr>
          <w:t>http://www.gedling.gov.uk/council/aboutus/financeandaccounts/opendata/genderpaygapdata/</w:t>
        </w:r>
      </w:hyperlink>
      <w:r w:rsidRPr="00ED5AD0">
        <w:rPr>
          <w:snapToGrid w:val="0"/>
        </w:rPr>
        <w:t xml:space="preserve"> </w:t>
      </w:r>
      <w:r w:rsidR="00812883" w:rsidRPr="00ED5AD0">
        <w:rPr>
          <w:snapToGrid w:val="0"/>
        </w:rPr>
        <w:t xml:space="preserve">and </w:t>
      </w:r>
      <w:r w:rsidRPr="00ED5AD0">
        <w:rPr>
          <w:snapToGrid w:val="0"/>
        </w:rPr>
        <w:t xml:space="preserve">on the </w:t>
      </w:r>
      <w:r w:rsidR="00812883" w:rsidRPr="00ED5AD0">
        <w:rPr>
          <w:snapToGrid w:val="0"/>
        </w:rPr>
        <w:t xml:space="preserve">government </w:t>
      </w:r>
      <w:r w:rsidRPr="00ED5AD0">
        <w:rPr>
          <w:snapToGrid w:val="0"/>
        </w:rPr>
        <w:t xml:space="preserve">website  </w:t>
      </w:r>
      <w:hyperlink r:id="rId13" w:history="1">
        <w:r w:rsidR="00AB2B1C" w:rsidRPr="00ED5AD0">
          <w:rPr>
            <w:rStyle w:val="Hyperlink"/>
            <w:snapToGrid w:val="0"/>
          </w:rPr>
          <w:t>https://gender-pay-gap.service.gov.uk/</w:t>
        </w:r>
      </w:hyperlink>
      <w:r w:rsidR="00AB2B1C" w:rsidRPr="00ED5AD0">
        <w:rPr>
          <w:snapToGrid w:val="0"/>
        </w:rPr>
        <w:t xml:space="preserve"> </w:t>
      </w:r>
    </w:p>
    <w:p w14:paraId="7D14B091" w14:textId="77777777" w:rsidR="00812883" w:rsidRPr="00ED5AD0" w:rsidRDefault="00812883" w:rsidP="00812883">
      <w:pPr>
        <w:ind w:left="426"/>
        <w:rPr>
          <w:snapToGrid w:val="0"/>
        </w:rPr>
      </w:pPr>
    </w:p>
    <w:p w14:paraId="1DC6A6E9" w14:textId="4E8819AF" w:rsidR="00812883" w:rsidRPr="00ED5AD0" w:rsidRDefault="00812883" w:rsidP="00812883">
      <w:pPr>
        <w:ind w:left="426"/>
        <w:jc w:val="both"/>
        <w:rPr>
          <w:rFonts w:cs="Arial"/>
          <w:szCs w:val="24"/>
        </w:rPr>
      </w:pPr>
      <w:r w:rsidRPr="00ED5AD0">
        <w:rPr>
          <w:snapToGrid w:val="0"/>
        </w:rPr>
        <w:t xml:space="preserve">This year’s data and the narrative endorsed by Senior Leadership Team for Gedling Borough Council </w:t>
      </w:r>
      <w:r w:rsidR="007C7B54" w:rsidRPr="00ED5AD0">
        <w:rPr>
          <w:snapToGrid w:val="0"/>
        </w:rPr>
        <w:t xml:space="preserve">are shown at </w:t>
      </w:r>
      <w:r w:rsidR="007C7B54" w:rsidRPr="00ED5AD0">
        <w:rPr>
          <w:b/>
          <w:bCs/>
          <w:snapToGrid w:val="0"/>
        </w:rPr>
        <w:t>Appendix B</w:t>
      </w:r>
      <w:r w:rsidRPr="00ED5AD0">
        <w:rPr>
          <w:snapToGrid w:val="0"/>
        </w:rPr>
        <w:t xml:space="preserve">.  </w:t>
      </w:r>
    </w:p>
    <w:p w14:paraId="68FDF269" w14:textId="77777777" w:rsidR="00812883" w:rsidRPr="00ED5AD0" w:rsidRDefault="00812883" w:rsidP="00F30599">
      <w:pPr>
        <w:ind w:left="426"/>
        <w:rPr>
          <w:rFonts w:cs="Arial"/>
          <w:color w:val="000000"/>
          <w:szCs w:val="24"/>
        </w:rPr>
      </w:pPr>
    </w:p>
    <w:p w14:paraId="7149A811" w14:textId="77777777" w:rsidR="00866965" w:rsidRPr="00ED5AD0" w:rsidRDefault="004323A4" w:rsidP="004323A4">
      <w:pPr>
        <w:ind w:left="851" w:hanging="425"/>
        <w:rPr>
          <w:rFonts w:cs="Arial"/>
          <w:b/>
          <w:color w:val="000000"/>
          <w:szCs w:val="24"/>
        </w:rPr>
      </w:pPr>
      <w:r w:rsidRPr="00ED5AD0">
        <w:rPr>
          <w:rFonts w:cs="Arial"/>
          <w:b/>
          <w:color w:val="000000"/>
          <w:szCs w:val="24"/>
        </w:rPr>
        <w:t xml:space="preserve">3.2 </w:t>
      </w:r>
      <w:r w:rsidR="00866965" w:rsidRPr="00ED5AD0">
        <w:rPr>
          <w:rFonts w:cs="Arial"/>
          <w:b/>
          <w:color w:val="000000"/>
          <w:szCs w:val="24"/>
        </w:rPr>
        <w:t>Other relevant information</w:t>
      </w:r>
    </w:p>
    <w:p w14:paraId="31C19308" w14:textId="77777777" w:rsidR="00CE232E" w:rsidRPr="00ED5AD0" w:rsidRDefault="00CE232E" w:rsidP="00866965">
      <w:pPr>
        <w:ind w:left="426"/>
        <w:rPr>
          <w:rFonts w:cs="Arial"/>
          <w:color w:val="000000"/>
          <w:szCs w:val="24"/>
        </w:rPr>
      </w:pPr>
      <w:r w:rsidRPr="00ED5AD0">
        <w:rPr>
          <w:rFonts w:cs="Arial"/>
          <w:color w:val="000000"/>
          <w:szCs w:val="24"/>
        </w:rPr>
        <w:t xml:space="preserve">The following </w:t>
      </w:r>
      <w:r w:rsidR="004323A4" w:rsidRPr="00ED5AD0">
        <w:rPr>
          <w:rFonts w:cs="Arial"/>
          <w:color w:val="000000"/>
          <w:szCs w:val="24"/>
        </w:rPr>
        <w:t xml:space="preserve">additional </w:t>
      </w:r>
      <w:r w:rsidRPr="00ED5AD0">
        <w:rPr>
          <w:rFonts w:cs="Arial"/>
          <w:color w:val="000000"/>
          <w:szCs w:val="24"/>
        </w:rPr>
        <w:t>paragraphs</w:t>
      </w:r>
      <w:r w:rsidR="00022877" w:rsidRPr="00ED5AD0">
        <w:rPr>
          <w:rFonts w:cs="Arial"/>
          <w:color w:val="000000"/>
          <w:szCs w:val="24"/>
        </w:rPr>
        <w:t xml:space="preserve"> and statements</w:t>
      </w:r>
      <w:r w:rsidRPr="00ED5AD0">
        <w:rPr>
          <w:rFonts w:cs="Arial"/>
          <w:color w:val="000000"/>
          <w:szCs w:val="24"/>
        </w:rPr>
        <w:t xml:space="preserve"> outline the Council’s general position in respect to employment, pay and conditions of service</w:t>
      </w:r>
      <w:r w:rsidR="00C51E8C" w:rsidRPr="00ED5AD0">
        <w:rPr>
          <w:rFonts w:cs="Arial"/>
          <w:color w:val="000000"/>
          <w:szCs w:val="24"/>
        </w:rPr>
        <w:t xml:space="preserve"> and are pertinent to the requirements of the Localism Act</w:t>
      </w:r>
      <w:r w:rsidRPr="00ED5AD0">
        <w:rPr>
          <w:rFonts w:cs="Arial"/>
          <w:color w:val="000000"/>
          <w:szCs w:val="24"/>
        </w:rPr>
        <w:t>:</w:t>
      </w:r>
    </w:p>
    <w:p w14:paraId="6A326150" w14:textId="77777777" w:rsidR="00CE232E" w:rsidRPr="00ED5AD0" w:rsidRDefault="00CE232E" w:rsidP="002D3990">
      <w:pPr>
        <w:ind w:left="993" w:hanging="567"/>
        <w:rPr>
          <w:rFonts w:cs="Arial"/>
          <w:szCs w:val="24"/>
        </w:rPr>
      </w:pPr>
    </w:p>
    <w:p w14:paraId="29CC17E0" w14:textId="77777777" w:rsidR="00866965" w:rsidRPr="00ED5AD0" w:rsidRDefault="00866965" w:rsidP="00D32888">
      <w:pPr>
        <w:pStyle w:val="ListParagraph"/>
        <w:numPr>
          <w:ilvl w:val="0"/>
          <w:numId w:val="15"/>
        </w:numPr>
        <w:spacing w:after="0" w:line="240" w:lineRule="auto"/>
        <w:rPr>
          <w:rFonts w:eastAsia="Times New Roman" w:cs="Arial"/>
          <w:vanish/>
          <w:szCs w:val="24"/>
        </w:rPr>
      </w:pPr>
    </w:p>
    <w:p w14:paraId="15BCAFBD" w14:textId="77777777" w:rsidR="00866965" w:rsidRPr="00ED5AD0" w:rsidRDefault="00866965" w:rsidP="00D32888">
      <w:pPr>
        <w:pStyle w:val="ListParagraph"/>
        <w:numPr>
          <w:ilvl w:val="0"/>
          <w:numId w:val="15"/>
        </w:numPr>
        <w:spacing w:after="0" w:line="240" w:lineRule="auto"/>
        <w:rPr>
          <w:rFonts w:eastAsia="Times New Roman" w:cs="Arial"/>
          <w:vanish/>
          <w:szCs w:val="24"/>
        </w:rPr>
      </w:pPr>
    </w:p>
    <w:p w14:paraId="02AEA474" w14:textId="77777777" w:rsidR="00866965" w:rsidRPr="00ED5AD0" w:rsidRDefault="00866965" w:rsidP="00D32888">
      <w:pPr>
        <w:pStyle w:val="ListParagraph"/>
        <w:numPr>
          <w:ilvl w:val="0"/>
          <w:numId w:val="15"/>
        </w:numPr>
        <w:spacing w:after="0" w:line="240" w:lineRule="auto"/>
        <w:rPr>
          <w:rFonts w:eastAsia="Times New Roman" w:cs="Arial"/>
          <w:vanish/>
          <w:szCs w:val="24"/>
        </w:rPr>
      </w:pPr>
    </w:p>
    <w:p w14:paraId="00E7B1DD" w14:textId="77777777" w:rsidR="00866965" w:rsidRPr="00ED5AD0" w:rsidRDefault="00866965" w:rsidP="00D32888">
      <w:pPr>
        <w:pStyle w:val="ListParagraph"/>
        <w:numPr>
          <w:ilvl w:val="1"/>
          <w:numId w:val="15"/>
        </w:numPr>
        <w:spacing w:after="0" w:line="240" w:lineRule="auto"/>
        <w:rPr>
          <w:rFonts w:eastAsia="Times New Roman" w:cs="Arial"/>
          <w:vanish/>
          <w:szCs w:val="24"/>
        </w:rPr>
      </w:pPr>
    </w:p>
    <w:p w14:paraId="539F15D9" w14:textId="77777777" w:rsidR="00866965" w:rsidRPr="00ED5AD0" w:rsidRDefault="00866965" w:rsidP="00D32888">
      <w:pPr>
        <w:pStyle w:val="ListParagraph"/>
        <w:numPr>
          <w:ilvl w:val="1"/>
          <w:numId w:val="15"/>
        </w:numPr>
        <w:spacing w:after="0" w:line="240" w:lineRule="auto"/>
        <w:rPr>
          <w:rFonts w:eastAsia="Times New Roman" w:cs="Arial"/>
          <w:vanish/>
          <w:szCs w:val="24"/>
        </w:rPr>
      </w:pPr>
    </w:p>
    <w:p w14:paraId="1915F6E7" w14:textId="70E1E1C2" w:rsidR="00CE232E" w:rsidRPr="00ED5AD0" w:rsidRDefault="00CE232E" w:rsidP="00D32888">
      <w:pPr>
        <w:numPr>
          <w:ilvl w:val="2"/>
          <w:numId w:val="15"/>
        </w:numPr>
        <w:ind w:left="1276" w:hanging="850"/>
        <w:rPr>
          <w:rFonts w:cs="Arial"/>
          <w:szCs w:val="24"/>
        </w:rPr>
      </w:pPr>
      <w:r w:rsidRPr="00ED5AD0">
        <w:rPr>
          <w:rFonts w:cs="Arial"/>
          <w:szCs w:val="24"/>
        </w:rPr>
        <w:t xml:space="preserve">As </w:t>
      </w:r>
      <w:proofErr w:type="gramStart"/>
      <w:r w:rsidRPr="00ED5AD0">
        <w:rPr>
          <w:rFonts w:cs="Arial"/>
          <w:szCs w:val="24"/>
        </w:rPr>
        <w:t>at</w:t>
      </w:r>
      <w:proofErr w:type="gramEnd"/>
      <w:r w:rsidRPr="00ED5AD0">
        <w:rPr>
          <w:rFonts w:cs="Arial"/>
          <w:szCs w:val="24"/>
        </w:rPr>
        <w:t xml:space="preserve"> </w:t>
      </w:r>
      <w:r w:rsidR="00690CC3" w:rsidRPr="00ED5AD0">
        <w:rPr>
          <w:rFonts w:cs="Arial"/>
          <w:szCs w:val="24"/>
        </w:rPr>
        <w:t>November</w:t>
      </w:r>
      <w:r w:rsidR="006B6D20" w:rsidRPr="00ED5AD0">
        <w:rPr>
          <w:rFonts w:cs="Arial"/>
          <w:szCs w:val="24"/>
        </w:rPr>
        <w:t xml:space="preserve"> </w:t>
      </w:r>
      <w:r w:rsidRPr="00ED5AD0">
        <w:rPr>
          <w:rFonts w:cs="Arial"/>
          <w:szCs w:val="24"/>
        </w:rPr>
        <w:t>20</w:t>
      </w:r>
      <w:r w:rsidR="0042290A" w:rsidRPr="00ED5AD0">
        <w:rPr>
          <w:rFonts w:cs="Arial"/>
          <w:szCs w:val="24"/>
        </w:rPr>
        <w:t>2</w:t>
      </w:r>
      <w:r w:rsidR="00F62142" w:rsidRPr="00ED5AD0">
        <w:rPr>
          <w:rFonts w:cs="Arial"/>
          <w:szCs w:val="24"/>
        </w:rPr>
        <w:t>4</w:t>
      </w:r>
      <w:r w:rsidRPr="00ED5AD0">
        <w:rPr>
          <w:rFonts w:cs="Arial"/>
          <w:szCs w:val="24"/>
        </w:rPr>
        <w:t xml:space="preserve">, Gedling Borough Council employed </w:t>
      </w:r>
      <w:r w:rsidR="00743B2A" w:rsidRPr="00ED5AD0">
        <w:rPr>
          <w:rFonts w:cs="Arial"/>
          <w:szCs w:val="24"/>
        </w:rPr>
        <w:t>448</w:t>
      </w:r>
      <w:r w:rsidRPr="00ED5AD0">
        <w:rPr>
          <w:rFonts w:cs="Arial"/>
          <w:szCs w:val="24"/>
        </w:rPr>
        <w:t xml:space="preserve"> people (</w:t>
      </w:r>
      <w:r w:rsidR="00911A21" w:rsidRPr="00ED5AD0">
        <w:rPr>
          <w:rFonts w:cs="Arial"/>
          <w:szCs w:val="24"/>
        </w:rPr>
        <w:t>3</w:t>
      </w:r>
      <w:r w:rsidR="00F01B65" w:rsidRPr="00ED5AD0">
        <w:rPr>
          <w:rFonts w:cs="Arial"/>
          <w:szCs w:val="24"/>
        </w:rPr>
        <w:t>3</w:t>
      </w:r>
      <w:r w:rsidR="00ED3CBC" w:rsidRPr="00ED5AD0">
        <w:rPr>
          <w:rFonts w:cs="Arial"/>
          <w:szCs w:val="24"/>
        </w:rPr>
        <w:t>6.56</w:t>
      </w:r>
      <w:r w:rsidR="007A6187" w:rsidRPr="00ED5AD0">
        <w:rPr>
          <w:rFonts w:cs="Arial"/>
          <w:szCs w:val="24"/>
        </w:rPr>
        <w:t xml:space="preserve"> </w:t>
      </w:r>
      <w:r w:rsidRPr="00ED5AD0">
        <w:rPr>
          <w:rFonts w:cs="Arial"/>
          <w:szCs w:val="24"/>
        </w:rPr>
        <w:t>full time equivalents).</w:t>
      </w:r>
    </w:p>
    <w:p w14:paraId="7AADB0D0" w14:textId="77777777" w:rsidR="00CE232E" w:rsidRPr="00ED5AD0" w:rsidRDefault="00CE232E" w:rsidP="00866965">
      <w:pPr>
        <w:ind w:left="1134" w:hanging="708"/>
        <w:rPr>
          <w:rFonts w:cs="Arial"/>
          <w:szCs w:val="24"/>
        </w:rPr>
      </w:pPr>
    </w:p>
    <w:p w14:paraId="746524E7" w14:textId="1365FD45" w:rsidR="00EE4004" w:rsidRPr="00ED5AD0" w:rsidRDefault="007A6187" w:rsidP="00D32888">
      <w:pPr>
        <w:numPr>
          <w:ilvl w:val="2"/>
          <w:numId w:val="15"/>
        </w:numPr>
        <w:ind w:left="1276" w:hanging="850"/>
        <w:rPr>
          <w:rFonts w:cs="Arial"/>
          <w:szCs w:val="24"/>
        </w:rPr>
      </w:pPr>
      <w:r w:rsidRPr="00ED5AD0">
        <w:rPr>
          <w:rFonts w:cs="Arial"/>
          <w:szCs w:val="24"/>
        </w:rPr>
        <w:t xml:space="preserve">Of our posts, </w:t>
      </w:r>
      <w:r w:rsidR="00D35BB7" w:rsidRPr="00ED5AD0">
        <w:rPr>
          <w:rFonts w:cs="Arial"/>
          <w:szCs w:val="24"/>
        </w:rPr>
        <w:t>t</w:t>
      </w:r>
      <w:r w:rsidR="00B0605A" w:rsidRPr="00ED5AD0">
        <w:rPr>
          <w:rFonts w:cs="Arial"/>
          <w:szCs w:val="24"/>
        </w:rPr>
        <w:t>hirteen</w:t>
      </w:r>
      <w:r w:rsidR="00911A21" w:rsidRPr="00ED5AD0">
        <w:rPr>
          <w:rFonts w:cs="Arial"/>
          <w:szCs w:val="24"/>
        </w:rPr>
        <w:t xml:space="preserve"> </w:t>
      </w:r>
      <w:r w:rsidR="00866965" w:rsidRPr="00ED5AD0">
        <w:rPr>
          <w:rFonts w:cs="Arial"/>
          <w:szCs w:val="24"/>
        </w:rPr>
        <w:t>are governed by</w:t>
      </w:r>
      <w:r w:rsidR="00EE4004" w:rsidRPr="00ED5AD0">
        <w:rPr>
          <w:rFonts w:cs="Arial"/>
          <w:szCs w:val="24"/>
        </w:rPr>
        <w:t xml:space="preserve"> the national conditions of service </w:t>
      </w:r>
      <w:r w:rsidR="00866965" w:rsidRPr="00ED5AD0">
        <w:rPr>
          <w:rFonts w:cs="Arial"/>
          <w:szCs w:val="24"/>
        </w:rPr>
        <w:t>relating to</w:t>
      </w:r>
      <w:r w:rsidR="00EE4004" w:rsidRPr="00ED5AD0">
        <w:rPr>
          <w:rFonts w:cs="Arial"/>
          <w:szCs w:val="24"/>
        </w:rPr>
        <w:t xml:space="preserve"> the Joint Negotiating Committees (JNC) for Chief Executives and </w:t>
      </w:r>
      <w:r w:rsidR="00222CE1" w:rsidRPr="00ED5AD0">
        <w:rPr>
          <w:rFonts w:cs="Arial"/>
          <w:szCs w:val="24"/>
        </w:rPr>
        <w:t>Chief Officer</w:t>
      </w:r>
      <w:r w:rsidR="00EE4004" w:rsidRPr="00ED5AD0">
        <w:rPr>
          <w:rFonts w:cs="Arial"/>
          <w:szCs w:val="24"/>
        </w:rPr>
        <w:t>s, these being the Chief Executive</w:t>
      </w:r>
      <w:r w:rsidR="00866965" w:rsidRPr="00ED5AD0">
        <w:rPr>
          <w:rFonts w:cs="Arial"/>
          <w:szCs w:val="24"/>
        </w:rPr>
        <w:t xml:space="preserve">, </w:t>
      </w:r>
      <w:r w:rsidR="0019479A" w:rsidRPr="00ED5AD0">
        <w:rPr>
          <w:rFonts w:cs="Arial"/>
          <w:szCs w:val="24"/>
        </w:rPr>
        <w:t xml:space="preserve">one Deputy Chief Executive, </w:t>
      </w:r>
      <w:r w:rsidR="00743B2A" w:rsidRPr="00ED5AD0">
        <w:rPr>
          <w:rFonts w:cs="Arial"/>
          <w:szCs w:val="24"/>
        </w:rPr>
        <w:t>four</w:t>
      </w:r>
      <w:r w:rsidR="00866965" w:rsidRPr="00ED5AD0">
        <w:rPr>
          <w:rFonts w:cs="Arial"/>
          <w:szCs w:val="24"/>
        </w:rPr>
        <w:t xml:space="preserve"> </w:t>
      </w:r>
      <w:r w:rsidR="005103EB" w:rsidRPr="00ED5AD0">
        <w:rPr>
          <w:rFonts w:cs="Arial"/>
          <w:szCs w:val="24"/>
        </w:rPr>
        <w:t>Director</w:t>
      </w:r>
      <w:r w:rsidR="00866965" w:rsidRPr="00ED5AD0">
        <w:rPr>
          <w:rFonts w:cs="Arial"/>
          <w:szCs w:val="24"/>
        </w:rPr>
        <w:t xml:space="preserve">s and </w:t>
      </w:r>
      <w:r w:rsidR="001C6821" w:rsidRPr="00ED5AD0">
        <w:rPr>
          <w:rFonts w:cs="Arial"/>
          <w:szCs w:val="24"/>
        </w:rPr>
        <w:t>seven</w:t>
      </w:r>
      <w:r w:rsidR="00D35BB7" w:rsidRPr="00ED5AD0">
        <w:rPr>
          <w:rFonts w:cs="Arial"/>
          <w:szCs w:val="24"/>
        </w:rPr>
        <w:t xml:space="preserve"> </w:t>
      </w:r>
      <w:r w:rsidR="00F62142" w:rsidRPr="00ED5AD0">
        <w:rPr>
          <w:rFonts w:cs="Arial"/>
          <w:szCs w:val="24"/>
        </w:rPr>
        <w:t xml:space="preserve">Assistant </w:t>
      </w:r>
      <w:r w:rsidR="005103EB" w:rsidRPr="00ED5AD0">
        <w:rPr>
          <w:rFonts w:cs="Arial"/>
          <w:szCs w:val="24"/>
        </w:rPr>
        <w:t>Director</w:t>
      </w:r>
      <w:r w:rsidR="00F62142" w:rsidRPr="00ED5AD0">
        <w:rPr>
          <w:rFonts w:cs="Arial"/>
          <w:szCs w:val="24"/>
        </w:rPr>
        <w:t>s</w:t>
      </w:r>
      <w:r w:rsidR="00EE4004" w:rsidRPr="00ED5AD0">
        <w:rPr>
          <w:rFonts w:cs="Arial"/>
          <w:szCs w:val="24"/>
        </w:rPr>
        <w:t>.</w:t>
      </w:r>
      <w:r w:rsidR="00E97CC2" w:rsidRPr="00ED5AD0">
        <w:rPr>
          <w:rFonts w:cs="Arial"/>
          <w:szCs w:val="24"/>
        </w:rPr>
        <w:t xml:space="preserve"> </w:t>
      </w:r>
      <w:r w:rsidR="00EE4004" w:rsidRPr="00ED5AD0">
        <w:rPr>
          <w:rFonts w:cs="Arial"/>
          <w:szCs w:val="24"/>
        </w:rPr>
        <w:t xml:space="preserve">  All other employees</w:t>
      </w:r>
      <w:r w:rsidR="00E97CC2" w:rsidRPr="00ED5AD0">
        <w:rPr>
          <w:rFonts w:cs="Arial"/>
          <w:szCs w:val="24"/>
        </w:rPr>
        <w:t xml:space="preserve"> </w:t>
      </w:r>
      <w:r w:rsidR="00EE4004" w:rsidRPr="00ED5AD0">
        <w:rPr>
          <w:rFonts w:cs="Arial"/>
          <w:szCs w:val="24"/>
        </w:rPr>
        <w:t xml:space="preserve">work within the national conditions of service covered by the </w:t>
      </w:r>
      <w:r w:rsidR="00FA5D37" w:rsidRPr="00ED5AD0">
        <w:rPr>
          <w:rFonts w:cs="Arial"/>
          <w:szCs w:val="24"/>
        </w:rPr>
        <w:t xml:space="preserve">National </w:t>
      </w:r>
      <w:r w:rsidR="00EE4004" w:rsidRPr="00ED5AD0">
        <w:rPr>
          <w:rFonts w:cs="Arial"/>
          <w:szCs w:val="24"/>
        </w:rPr>
        <w:t>Joint Council (NJC) for Local Government Employees.</w:t>
      </w:r>
    </w:p>
    <w:p w14:paraId="6745B02C" w14:textId="77777777" w:rsidR="00EE4004" w:rsidRPr="00ED5AD0" w:rsidRDefault="00EE4004" w:rsidP="00540ECE">
      <w:pPr>
        <w:ind w:left="1276" w:hanging="850"/>
        <w:rPr>
          <w:rFonts w:cs="Arial"/>
          <w:szCs w:val="24"/>
        </w:rPr>
      </w:pPr>
    </w:p>
    <w:p w14:paraId="7784645E" w14:textId="77777777" w:rsidR="00EE4004" w:rsidRPr="00ED5AD0" w:rsidRDefault="00EE4004" w:rsidP="00D32888">
      <w:pPr>
        <w:numPr>
          <w:ilvl w:val="2"/>
          <w:numId w:val="15"/>
        </w:numPr>
        <w:ind w:left="1276" w:hanging="850"/>
        <w:rPr>
          <w:rFonts w:cs="Arial"/>
          <w:szCs w:val="24"/>
        </w:rPr>
      </w:pPr>
      <w:r w:rsidRPr="00ED5AD0">
        <w:rPr>
          <w:rFonts w:cs="Arial"/>
          <w:szCs w:val="24"/>
        </w:rPr>
        <w:t xml:space="preserve">These national conditions of service are added to, and amended by, local terms and conditions detailed in the Employee Handbook and further modified at an individual level by Statements of Employment (contracts) applying to </w:t>
      </w:r>
      <w:proofErr w:type="gramStart"/>
      <w:r w:rsidRPr="00ED5AD0">
        <w:rPr>
          <w:rFonts w:cs="Arial"/>
          <w:szCs w:val="24"/>
        </w:rPr>
        <w:t>particular employees</w:t>
      </w:r>
      <w:proofErr w:type="gramEnd"/>
      <w:r w:rsidRPr="00ED5AD0">
        <w:rPr>
          <w:rFonts w:cs="Arial"/>
          <w:szCs w:val="24"/>
        </w:rPr>
        <w:t xml:space="preserve"> or posts.</w:t>
      </w:r>
    </w:p>
    <w:p w14:paraId="2D0B68EE" w14:textId="77777777" w:rsidR="00172B3A" w:rsidRPr="00ED5AD0" w:rsidRDefault="00172B3A" w:rsidP="00540ECE">
      <w:pPr>
        <w:ind w:left="1276" w:hanging="850"/>
        <w:rPr>
          <w:rFonts w:cs="Arial"/>
          <w:szCs w:val="24"/>
        </w:rPr>
      </w:pPr>
    </w:p>
    <w:p w14:paraId="29C532D3" w14:textId="77777777" w:rsidR="0026190E" w:rsidRPr="00ED5AD0" w:rsidRDefault="0026190E" w:rsidP="00540ECE">
      <w:pPr>
        <w:ind w:left="1276" w:hanging="850"/>
        <w:rPr>
          <w:rFonts w:cs="Arial"/>
          <w:szCs w:val="24"/>
        </w:rPr>
      </w:pPr>
    </w:p>
    <w:p w14:paraId="0D3BA39E" w14:textId="77777777" w:rsidR="0026190E" w:rsidRPr="00ED5AD0" w:rsidRDefault="0026190E" w:rsidP="00540ECE">
      <w:pPr>
        <w:ind w:left="1276" w:hanging="850"/>
        <w:rPr>
          <w:rFonts w:cs="Arial"/>
          <w:szCs w:val="24"/>
        </w:rPr>
      </w:pPr>
    </w:p>
    <w:p w14:paraId="4400AB81" w14:textId="77777777" w:rsidR="0026190E" w:rsidRPr="00ED5AD0" w:rsidRDefault="0026190E" w:rsidP="00540ECE">
      <w:pPr>
        <w:ind w:left="1276" w:hanging="850"/>
        <w:rPr>
          <w:rFonts w:cs="Arial"/>
          <w:szCs w:val="24"/>
        </w:rPr>
      </w:pPr>
    </w:p>
    <w:p w14:paraId="68C05C29" w14:textId="5A71879E" w:rsidR="00172B3A" w:rsidRPr="00ED5AD0" w:rsidRDefault="00172B3A" w:rsidP="00D32888">
      <w:pPr>
        <w:numPr>
          <w:ilvl w:val="2"/>
          <w:numId w:val="15"/>
        </w:numPr>
        <w:ind w:left="1276" w:hanging="850"/>
        <w:rPr>
          <w:rFonts w:cs="Arial"/>
          <w:szCs w:val="24"/>
        </w:rPr>
      </w:pPr>
      <w:r w:rsidRPr="00ED5AD0">
        <w:rPr>
          <w:rFonts w:cs="Arial"/>
          <w:szCs w:val="24"/>
        </w:rPr>
        <w:lastRenderedPageBreak/>
        <w:t xml:space="preserve">For the purposes of the Localism Act, report must be made on the pay policies relating specifically to “Chief Officers”.  In the Act, included in the definition of what is a “Chief Officer” are any posts, statutory or not statutory, that report direct to the Chief Executive, or to a post that reports immediately to the Chief </w:t>
      </w:r>
      <w:r w:rsidR="00671CD6" w:rsidRPr="00ED5AD0">
        <w:rPr>
          <w:rFonts w:cs="Arial"/>
          <w:szCs w:val="24"/>
        </w:rPr>
        <w:t>Officer</w:t>
      </w:r>
      <w:r w:rsidRPr="00ED5AD0">
        <w:rPr>
          <w:rFonts w:cs="Arial"/>
          <w:szCs w:val="24"/>
        </w:rPr>
        <w:t>.  The purpose is to ensure that “Deputy Chief Officer” posts are included in the pay policy.  Locally, for Gedling Borough Council this means that the Chief Executive,</w:t>
      </w:r>
      <w:r w:rsidR="0019479A" w:rsidRPr="00ED5AD0">
        <w:rPr>
          <w:rFonts w:cs="Arial"/>
          <w:szCs w:val="24"/>
        </w:rPr>
        <w:t xml:space="preserve"> Deputy Chief Executive,</w:t>
      </w:r>
      <w:r w:rsidRPr="00ED5AD0">
        <w:rPr>
          <w:rFonts w:cs="Arial"/>
          <w:szCs w:val="24"/>
        </w:rPr>
        <w:t xml:space="preserve"> </w:t>
      </w:r>
      <w:r w:rsidR="005103EB" w:rsidRPr="00ED5AD0">
        <w:rPr>
          <w:rFonts w:cs="Arial"/>
          <w:szCs w:val="24"/>
        </w:rPr>
        <w:t>Director</w:t>
      </w:r>
      <w:r w:rsidRPr="00ED5AD0">
        <w:rPr>
          <w:rFonts w:cs="Arial"/>
          <w:szCs w:val="24"/>
        </w:rPr>
        <w:t xml:space="preserve">s and </w:t>
      </w:r>
      <w:r w:rsidR="0019479A" w:rsidRPr="00ED5AD0">
        <w:rPr>
          <w:rFonts w:cs="Arial"/>
          <w:szCs w:val="24"/>
        </w:rPr>
        <w:t xml:space="preserve">Assistant </w:t>
      </w:r>
      <w:r w:rsidR="005103EB" w:rsidRPr="00ED5AD0">
        <w:rPr>
          <w:rFonts w:cs="Arial"/>
          <w:szCs w:val="24"/>
        </w:rPr>
        <w:t>Director</w:t>
      </w:r>
      <w:r w:rsidR="0019479A" w:rsidRPr="00ED5AD0">
        <w:rPr>
          <w:rFonts w:cs="Arial"/>
          <w:szCs w:val="24"/>
        </w:rPr>
        <w:t>s</w:t>
      </w:r>
      <w:r w:rsidRPr="00ED5AD0">
        <w:rPr>
          <w:rFonts w:cs="Arial"/>
          <w:szCs w:val="24"/>
        </w:rPr>
        <w:t xml:space="preserve"> </w:t>
      </w:r>
      <w:r w:rsidR="00525E1F" w:rsidRPr="00ED5AD0">
        <w:rPr>
          <w:rFonts w:cs="Arial"/>
          <w:szCs w:val="24"/>
        </w:rPr>
        <w:t>are</w:t>
      </w:r>
      <w:r w:rsidRPr="00ED5AD0">
        <w:rPr>
          <w:rFonts w:cs="Arial"/>
          <w:szCs w:val="24"/>
        </w:rPr>
        <w:t xml:space="preserve"> covered in the Pay Policy Statement. </w:t>
      </w:r>
    </w:p>
    <w:p w14:paraId="369C8B1A" w14:textId="77777777" w:rsidR="00172B3A" w:rsidRPr="00ED5AD0" w:rsidRDefault="00172B3A" w:rsidP="00540ECE">
      <w:pPr>
        <w:ind w:left="1276" w:hanging="850"/>
        <w:rPr>
          <w:rFonts w:cs="Arial"/>
          <w:szCs w:val="24"/>
        </w:rPr>
      </w:pPr>
    </w:p>
    <w:p w14:paraId="2E91481A" w14:textId="77777777" w:rsidR="00522C4C" w:rsidRPr="00ED5AD0" w:rsidRDefault="00522C4C" w:rsidP="00D32888">
      <w:pPr>
        <w:numPr>
          <w:ilvl w:val="2"/>
          <w:numId w:val="15"/>
        </w:numPr>
        <w:ind w:left="1276" w:hanging="850"/>
        <w:rPr>
          <w:rFonts w:cs="Arial"/>
          <w:szCs w:val="24"/>
        </w:rPr>
      </w:pPr>
      <w:r w:rsidRPr="00ED5AD0">
        <w:rPr>
          <w:rFonts w:cs="Arial"/>
          <w:szCs w:val="24"/>
        </w:rPr>
        <w:t xml:space="preserve">Policies relating to the setting of pay are determined by committee.  Currently such decisions </w:t>
      </w:r>
      <w:r w:rsidR="00FA5F41" w:rsidRPr="00ED5AD0">
        <w:rPr>
          <w:rFonts w:cs="Arial"/>
          <w:szCs w:val="24"/>
        </w:rPr>
        <w:t>fall</w:t>
      </w:r>
      <w:r w:rsidRPr="00ED5AD0">
        <w:rPr>
          <w:rFonts w:cs="Arial"/>
          <w:szCs w:val="24"/>
        </w:rPr>
        <w:t xml:space="preserve"> under the remit of the Appointments and Conditions of Service Committee</w:t>
      </w:r>
      <w:r w:rsidR="001F5D9D" w:rsidRPr="00ED5AD0">
        <w:rPr>
          <w:rFonts w:cs="Arial"/>
          <w:szCs w:val="24"/>
        </w:rPr>
        <w:t xml:space="preserve"> (ACSC)</w:t>
      </w:r>
      <w:r w:rsidRPr="00ED5AD0">
        <w:rPr>
          <w:rFonts w:cs="Arial"/>
          <w:szCs w:val="24"/>
        </w:rPr>
        <w:t xml:space="preserve">.  Historically, all </w:t>
      </w:r>
      <w:r w:rsidR="00A25AF3" w:rsidRPr="00ED5AD0">
        <w:rPr>
          <w:rFonts w:cs="Arial"/>
          <w:szCs w:val="24"/>
        </w:rPr>
        <w:t xml:space="preserve">major </w:t>
      </w:r>
      <w:r w:rsidRPr="00ED5AD0">
        <w:rPr>
          <w:rFonts w:cs="Arial"/>
          <w:szCs w:val="24"/>
        </w:rPr>
        <w:t xml:space="preserve">decisions relating to pay policies have been the subject of consultation with the recognised unions representing employees of the Council, either direct with the unions, or more usually through discussion at the Joint Consultative and Safety Committee </w:t>
      </w:r>
      <w:r w:rsidR="001F5D9D" w:rsidRPr="00ED5AD0">
        <w:rPr>
          <w:rFonts w:cs="Arial"/>
          <w:szCs w:val="24"/>
        </w:rPr>
        <w:t xml:space="preserve">(JCSC) </w:t>
      </w:r>
      <w:r w:rsidRPr="00ED5AD0">
        <w:rPr>
          <w:rFonts w:cs="Arial"/>
          <w:szCs w:val="24"/>
        </w:rPr>
        <w:t xml:space="preserve">which is the recognised forum for formal consultation between employee representatives and the employer. </w:t>
      </w:r>
    </w:p>
    <w:p w14:paraId="1687D741" w14:textId="77777777" w:rsidR="00522C4C" w:rsidRPr="00ED5AD0" w:rsidRDefault="00522C4C" w:rsidP="00540ECE">
      <w:pPr>
        <w:ind w:left="1276" w:hanging="850"/>
        <w:rPr>
          <w:rFonts w:cs="Arial"/>
          <w:szCs w:val="24"/>
        </w:rPr>
      </w:pPr>
    </w:p>
    <w:p w14:paraId="745988DD" w14:textId="3C0C97EA" w:rsidR="00522C4C" w:rsidRPr="00ED5AD0" w:rsidRDefault="00522C4C" w:rsidP="00D32888">
      <w:pPr>
        <w:numPr>
          <w:ilvl w:val="2"/>
          <w:numId w:val="15"/>
        </w:numPr>
        <w:ind w:left="1276" w:hanging="850"/>
        <w:rPr>
          <w:rFonts w:cs="Arial"/>
          <w:szCs w:val="24"/>
        </w:rPr>
      </w:pPr>
      <w:r w:rsidRPr="00ED5AD0">
        <w:rPr>
          <w:rFonts w:cs="Arial"/>
          <w:szCs w:val="24"/>
        </w:rPr>
        <w:t xml:space="preserve">The Council has embraced the principles of Single Status (a term designed by national employers’ groups and trade unions to describe the equal treatment, in respect to terms and conditions, of all employees) since 2001.  </w:t>
      </w:r>
      <w:r w:rsidR="00FA5F41" w:rsidRPr="00ED5AD0">
        <w:rPr>
          <w:rFonts w:cs="Arial"/>
          <w:szCs w:val="24"/>
        </w:rPr>
        <w:t xml:space="preserve">Gedling </w:t>
      </w:r>
      <w:r w:rsidRPr="00ED5AD0">
        <w:rPr>
          <w:rFonts w:cs="Arial"/>
          <w:szCs w:val="24"/>
        </w:rPr>
        <w:t>was one of the first local authorities in the region to formally implement the national NJC Job Evaluation Scheme</w:t>
      </w:r>
      <w:r w:rsidR="006A2FEA" w:rsidRPr="00ED5AD0">
        <w:rPr>
          <w:rFonts w:cs="Arial"/>
          <w:szCs w:val="24"/>
        </w:rPr>
        <w:t xml:space="preserve">.  </w:t>
      </w:r>
      <w:r w:rsidR="00A25AF3" w:rsidRPr="00ED5AD0">
        <w:rPr>
          <w:rFonts w:cs="Arial"/>
          <w:szCs w:val="24"/>
        </w:rPr>
        <w:t>A p</w:t>
      </w:r>
      <w:r w:rsidR="006A2FEA" w:rsidRPr="00ED5AD0">
        <w:rPr>
          <w:rFonts w:cs="Arial"/>
          <w:szCs w:val="24"/>
        </w:rPr>
        <w:t>ay polic</w:t>
      </w:r>
      <w:r w:rsidR="003F2B15" w:rsidRPr="00ED5AD0">
        <w:rPr>
          <w:rFonts w:cs="Arial"/>
          <w:szCs w:val="24"/>
        </w:rPr>
        <w:t>y</w:t>
      </w:r>
      <w:r w:rsidR="006A2FEA" w:rsidRPr="00ED5AD0">
        <w:rPr>
          <w:rFonts w:cs="Arial"/>
          <w:szCs w:val="24"/>
        </w:rPr>
        <w:t xml:space="preserve"> w</w:t>
      </w:r>
      <w:r w:rsidR="003F2B15" w:rsidRPr="00ED5AD0">
        <w:rPr>
          <w:rFonts w:cs="Arial"/>
          <w:szCs w:val="24"/>
        </w:rPr>
        <w:t>as</w:t>
      </w:r>
      <w:r w:rsidR="006A2FEA" w:rsidRPr="00ED5AD0">
        <w:rPr>
          <w:rFonts w:cs="Arial"/>
          <w:szCs w:val="24"/>
        </w:rPr>
        <w:t xml:space="preserve"> written at this time to reflect how NJC pay was to be applied within this scheme </w:t>
      </w:r>
      <w:r w:rsidR="003F2B15" w:rsidRPr="00ED5AD0">
        <w:rPr>
          <w:rFonts w:cs="Arial"/>
          <w:szCs w:val="24"/>
        </w:rPr>
        <w:t xml:space="preserve">and this is shown at </w:t>
      </w:r>
      <w:r w:rsidR="006A2FEA" w:rsidRPr="00ED5AD0">
        <w:rPr>
          <w:rFonts w:cs="Arial"/>
          <w:b/>
          <w:bCs/>
          <w:szCs w:val="24"/>
        </w:rPr>
        <w:t xml:space="preserve">Appendix </w:t>
      </w:r>
      <w:r w:rsidR="0019479A" w:rsidRPr="00ED5AD0">
        <w:rPr>
          <w:rFonts w:cs="Arial"/>
          <w:b/>
          <w:bCs/>
          <w:szCs w:val="24"/>
        </w:rPr>
        <w:t>C</w:t>
      </w:r>
      <w:r w:rsidR="0019479A" w:rsidRPr="00ED5AD0">
        <w:rPr>
          <w:rFonts w:cs="Arial"/>
          <w:szCs w:val="24"/>
        </w:rPr>
        <w:t>.</w:t>
      </w:r>
      <w:r w:rsidR="006A2FEA" w:rsidRPr="00ED5AD0">
        <w:rPr>
          <w:rFonts w:cs="Arial"/>
          <w:szCs w:val="24"/>
        </w:rPr>
        <w:t xml:space="preserve">  The NJC Job Evaluation Scheme continues to be used and pay grades are established using this tool for all NJC posts</w:t>
      </w:r>
      <w:r w:rsidR="00525E1F" w:rsidRPr="00ED5AD0">
        <w:rPr>
          <w:rFonts w:cs="Arial"/>
          <w:szCs w:val="24"/>
        </w:rPr>
        <w:t xml:space="preserve">. </w:t>
      </w:r>
      <w:r w:rsidR="006A2FEA" w:rsidRPr="00ED5AD0">
        <w:rPr>
          <w:rFonts w:cs="Arial"/>
          <w:szCs w:val="24"/>
        </w:rPr>
        <w:t>Job assessment is carried out jointly by both management and union representatives.</w:t>
      </w:r>
    </w:p>
    <w:p w14:paraId="29E48597" w14:textId="77777777" w:rsidR="00525E1F" w:rsidRPr="00ED5AD0" w:rsidRDefault="00525E1F" w:rsidP="00540ECE">
      <w:pPr>
        <w:ind w:left="1276" w:hanging="850"/>
        <w:rPr>
          <w:rFonts w:cs="Arial"/>
          <w:szCs w:val="24"/>
        </w:rPr>
      </w:pPr>
      <w:r w:rsidRPr="00ED5AD0">
        <w:rPr>
          <w:rFonts w:cs="Arial"/>
          <w:szCs w:val="24"/>
        </w:rPr>
        <w:t xml:space="preserve"> </w:t>
      </w:r>
    </w:p>
    <w:p w14:paraId="3EE5BCB6" w14:textId="2C03FFAE" w:rsidR="00525E1F" w:rsidRPr="00ED5AD0" w:rsidRDefault="00525E1F" w:rsidP="00D32888">
      <w:pPr>
        <w:numPr>
          <w:ilvl w:val="2"/>
          <w:numId w:val="15"/>
        </w:numPr>
        <w:ind w:left="1276" w:hanging="850"/>
        <w:rPr>
          <w:rFonts w:cs="Arial"/>
          <w:szCs w:val="24"/>
        </w:rPr>
      </w:pPr>
      <w:r w:rsidRPr="00ED5AD0">
        <w:rPr>
          <w:rFonts w:cs="Arial"/>
          <w:szCs w:val="24"/>
        </w:rPr>
        <w:t xml:space="preserve">The grading of </w:t>
      </w:r>
      <w:r w:rsidR="002C4201" w:rsidRPr="00ED5AD0">
        <w:rPr>
          <w:rFonts w:cs="Arial"/>
          <w:szCs w:val="24"/>
        </w:rPr>
        <w:t xml:space="preserve">JNC </w:t>
      </w:r>
      <w:r w:rsidR="0019479A" w:rsidRPr="00ED5AD0">
        <w:rPr>
          <w:rFonts w:cs="Arial"/>
          <w:szCs w:val="24"/>
        </w:rPr>
        <w:t xml:space="preserve">Assistant </w:t>
      </w:r>
      <w:r w:rsidR="005103EB" w:rsidRPr="00ED5AD0">
        <w:rPr>
          <w:rFonts w:cs="Arial"/>
          <w:szCs w:val="24"/>
        </w:rPr>
        <w:t>Director</w:t>
      </w:r>
      <w:r w:rsidRPr="00ED5AD0">
        <w:rPr>
          <w:rFonts w:cs="Arial"/>
          <w:szCs w:val="24"/>
        </w:rPr>
        <w:t xml:space="preserve"> posts is undertaken by Senior Leadership Team and is based on a </w:t>
      </w:r>
      <w:proofErr w:type="gramStart"/>
      <w:r w:rsidRPr="00ED5AD0">
        <w:rPr>
          <w:rFonts w:cs="Arial"/>
          <w:szCs w:val="24"/>
        </w:rPr>
        <w:t>locally</w:t>
      </w:r>
      <w:r w:rsidR="007A6187" w:rsidRPr="00ED5AD0">
        <w:rPr>
          <w:rFonts w:cs="Arial"/>
          <w:szCs w:val="24"/>
        </w:rPr>
        <w:t>-</w:t>
      </w:r>
      <w:r w:rsidRPr="00ED5AD0">
        <w:rPr>
          <w:rFonts w:cs="Arial"/>
          <w:szCs w:val="24"/>
        </w:rPr>
        <w:t>determined</w:t>
      </w:r>
      <w:proofErr w:type="gramEnd"/>
      <w:r w:rsidRPr="00ED5AD0">
        <w:rPr>
          <w:rFonts w:cs="Arial"/>
          <w:szCs w:val="24"/>
        </w:rPr>
        <w:t xml:space="preserve"> scoring matrix.  This matrix and the scoring system used to determine grades are shown at </w:t>
      </w:r>
      <w:r w:rsidRPr="00ED5AD0">
        <w:rPr>
          <w:rFonts w:cs="Arial"/>
          <w:b/>
          <w:bCs/>
          <w:szCs w:val="24"/>
        </w:rPr>
        <w:t xml:space="preserve">Appendix </w:t>
      </w:r>
      <w:r w:rsidR="00160E37" w:rsidRPr="00ED5AD0">
        <w:rPr>
          <w:rFonts w:cs="Arial"/>
          <w:b/>
          <w:bCs/>
          <w:szCs w:val="24"/>
        </w:rPr>
        <w:t>D</w:t>
      </w:r>
      <w:r w:rsidRPr="00ED5AD0">
        <w:rPr>
          <w:rFonts w:cs="Arial"/>
          <w:b/>
          <w:bCs/>
          <w:szCs w:val="24"/>
        </w:rPr>
        <w:t>.</w:t>
      </w:r>
      <w:r w:rsidRPr="00ED5AD0">
        <w:rPr>
          <w:rFonts w:cs="Arial"/>
          <w:szCs w:val="24"/>
        </w:rPr>
        <w:t xml:space="preserve"> </w:t>
      </w:r>
      <w:r w:rsidR="002C4201" w:rsidRPr="00ED5AD0">
        <w:rPr>
          <w:rFonts w:cs="Arial"/>
          <w:szCs w:val="24"/>
        </w:rPr>
        <w:t xml:space="preserve">Pay grades for </w:t>
      </w:r>
      <w:r w:rsidR="005103EB" w:rsidRPr="00ED5AD0">
        <w:rPr>
          <w:rFonts w:cs="Arial"/>
          <w:szCs w:val="24"/>
        </w:rPr>
        <w:t>Director</w:t>
      </w:r>
      <w:r w:rsidR="002C4201" w:rsidRPr="00ED5AD0">
        <w:rPr>
          <w:rFonts w:cs="Arial"/>
          <w:szCs w:val="24"/>
        </w:rPr>
        <w:t>s and the Chief Executive are determined by Committee (ACSC).</w:t>
      </w:r>
    </w:p>
    <w:p w14:paraId="0E855734" w14:textId="77777777" w:rsidR="006A2FEA" w:rsidRPr="00ED5AD0" w:rsidRDefault="006A2FEA" w:rsidP="00540ECE">
      <w:pPr>
        <w:ind w:left="1276" w:hanging="850"/>
        <w:rPr>
          <w:rFonts w:cs="Arial"/>
          <w:szCs w:val="24"/>
        </w:rPr>
      </w:pPr>
    </w:p>
    <w:p w14:paraId="2C6F2B80" w14:textId="32173FE2" w:rsidR="00911A21" w:rsidRPr="00ED5AD0" w:rsidRDefault="006A2FEA" w:rsidP="00D32888">
      <w:pPr>
        <w:numPr>
          <w:ilvl w:val="2"/>
          <w:numId w:val="15"/>
        </w:numPr>
        <w:ind w:left="1276" w:hanging="850"/>
        <w:rPr>
          <w:rFonts w:cs="Arial"/>
          <w:szCs w:val="24"/>
        </w:rPr>
      </w:pPr>
      <w:r w:rsidRPr="00ED5AD0">
        <w:rPr>
          <w:rFonts w:cs="Arial"/>
          <w:szCs w:val="24"/>
        </w:rPr>
        <w:t xml:space="preserve">The filling of, or promotion to all posts, be they governed by NJC or JNC conditions of service are dealt with under the same defined protocols.  The general protocol for the filling of vacancies is shown at </w:t>
      </w:r>
      <w:r w:rsidRPr="00ED5AD0">
        <w:rPr>
          <w:rFonts w:cs="Arial"/>
          <w:b/>
          <w:bCs/>
          <w:szCs w:val="24"/>
        </w:rPr>
        <w:t>Appendix</w:t>
      </w:r>
      <w:r w:rsidR="00160E37" w:rsidRPr="00ED5AD0">
        <w:rPr>
          <w:rFonts w:cs="Arial"/>
          <w:b/>
          <w:bCs/>
          <w:szCs w:val="24"/>
        </w:rPr>
        <w:t xml:space="preserve"> E</w:t>
      </w:r>
      <w:r w:rsidRPr="00ED5AD0">
        <w:rPr>
          <w:rFonts w:cs="Arial"/>
          <w:szCs w:val="24"/>
        </w:rPr>
        <w:t xml:space="preserve"> </w:t>
      </w:r>
      <w:r w:rsidR="00911A21" w:rsidRPr="00ED5AD0">
        <w:rPr>
          <w:rFonts w:cs="Arial"/>
          <w:szCs w:val="24"/>
        </w:rPr>
        <w:t xml:space="preserve">with a description of how this protocol is applied in a practical context shown at </w:t>
      </w:r>
      <w:r w:rsidR="003F2B15" w:rsidRPr="00ED5AD0">
        <w:rPr>
          <w:rFonts w:cs="Arial"/>
          <w:b/>
          <w:bCs/>
          <w:szCs w:val="24"/>
        </w:rPr>
        <w:t xml:space="preserve">Appendix </w:t>
      </w:r>
      <w:r w:rsidR="00160E37" w:rsidRPr="00ED5AD0">
        <w:rPr>
          <w:rFonts w:cs="Arial"/>
          <w:b/>
          <w:bCs/>
          <w:szCs w:val="24"/>
        </w:rPr>
        <w:t>F</w:t>
      </w:r>
      <w:r w:rsidR="00160E37" w:rsidRPr="00ED5AD0">
        <w:rPr>
          <w:rFonts w:cs="Arial"/>
          <w:szCs w:val="24"/>
        </w:rPr>
        <w:t>.</w:t>
      </w:r>
      <w:r w:rsidR="00911A21" w:rsidRPr="00ED5AD0">
        <w:rPr>
          <w:rFonts w:cs="Arial"/>
          <w:szCs w:val="24"/>
        </w:rPr>
        <w:t xml:space="preserve"> </w:t>
      </w:r>
    </w:p>
    <w:p w14:paraId="3FE49D86" w14:textId="77777777" w:rsidR="00F82C04" w:rsidRPr="00ED5AD0" w:rsidRDefault="00F82C04" w:rsidP="00540ECE">
      <w:pPr>
        <w:ind w:left="1276" w:hanging="850"/>
        <w:rPr>
          <w:rFonts w:cs="Arial"/>
          <w:szCs w:val="24"/>
        </w:rPr>
      </w:pPr>
    </w:p>
    <w:p w14:paraId="407BF738" w14:textId="09ABD095" w:rsidR="004D4FD2" w:rsidRPr="00ED5AD0" w:rsidRDefault="00CE232E" w:rsidP="00D32888">
      <w:pPr>
        <w:numPr>
          <w:ilvl w:val="2"/>
          <w:numId w:val="15"/>
        </w:numPr>
        <w:ind w:left="1276" w:hanging="850"/>
        <w:rPr>
          <w:rFonts w:cs="Arial"/>
          <w:szCs w:val="24"/>
        </w:rPr>
      </w:pPr>
      <w:r w:rsidRPr="00ED5AD0">
        <w:rPr>
          <w:rFonts w:cs="Arial"/>
          <w:szCs w:val="24"/>
        </w:rPr>
        <w:t xml:space="preserve">Other than in cases where there is a need to prevent redundancy through possible redeployment of existing employees, </w:t>
      </w:r>
      <w:r w:rsidR="00FA5F41" w:rsidRPr="00ED5AD0">
        <w:rPr>
          <w:rFonts w:cs="Arial"/>
          <w:szCs w:val="24"/>
        </w:rPr>
        <w:t xml:space="preserve">or where efficiencies </w:t>
      </w:r>
      <w:r w:rsidR="00911A21" w:rsidRPr="00ED5AD0">
        <w:rPr>
          <w:rFonts w:cs="Arial"/>
          <w:szCs w:val="24"/>
        </w:rPr>
        <w:t xml:space="preserve">or improved working </w:t>
      </w:r>
      <w:r w:rsidR="00FA5F41" w:rsidRPr="00ED5AD0">
        <w:rPr>
          <w:rFonts w:cs="Arial"/>
          <w:szCs w:val="24"/>
        </w:rPr>
        <w:t xml:space="preserve">can potentially be realised, </w:t>
      </w:r>
      <w:r w:rsidRPr="00ED5AD0">
        <w:rPr>
          <w:rFonts w:cs="Arial"/>
          <w:szCs w:val="24"/>
        </w:rPr>
        <w:t xml:space="preserve">all permanent vacancies are advertised </w:t>
      </w:r>
      <w:proofErr w:type="gramStart"/>
      <w:r w:rsidRPr="00ED5AD0">
        <w:rPr>
          <w:rFonts w:cs="Arial"/>
          <w:szCs w:val="24"/>
        </w:rPr>
        <w:t>externally</w:t>
      </w:r>
      <w:proofErr w:type="gramEnd"/>
      <w:r w:rsidRPr="00ED5AD0">
        <w:rPr>
          <w:rFonts w:cs="Arial"/>
          <w:szCs w:val="24"/>
        </w:rPr>
        <w:t xml:space="preserve"> and all appointments are made on merit as required by the Local Government and Housing Act 1989. </w:t>
      </w:r>
      <w:r w:rsidR="006A2FEA" w:rsidRPr="00ED5AD0">
        <w:rPr>
          <w:rFonts w:cs="Arial"/>
          <w:szCs w:val="24"/>
        </w:rPr>
        <w:t xml:space="preserve"> </w:t>
      </w:r>
      <w:r w:rsidRPr="00ED5AD0">
        <w:rPr>
          <w:rFonts w:cs="Arial"/>
          <w:szCs w:val="24"/>
        </w:rPr>
        <w:t xml:space="preserve">There is </w:t>
      </w:r>
      <w:r w:rsidR="00FA5F41" w:rsidRPr="00ED5AD0">
        <w:rPr>
          <w:rFonts w:cs="Arial"/>
          <w:szCs w:val="24"/>
        </w:rPr>
        <w:t xml:space="preserve">an additional </w:t>
      </w:r>
      <w:r w:rsidRPr="00ED5AD0">
        <w:rPr>
          <w:rFonts w:cs="Arial"/>
          <w:szCs w:val="24"/>
        </w:rPr>
        <w:t xml:space="preserve">recognised protocol </w:t>
      </w:r>
      <w:r w:rsidRPr="00ED5AD0">
        <w:rPr>
          <w:rFonts w:cs="Arial"/>
          <w:b/>
          <w:bCs/>
          <w:szCs w:val="24"/>
        </w:rPr>
        <w:t>(</w:t>
      </w:r>
      <w:r w:rsidR="00863073" w:rsidRPr="00ED5AD0">
        <w:rPr>
          <w:rFonts w:cs="Arial"/>
          <w:b/>
          <w:bCs/>
          <w:szCs w:val="24"/>
        </w:rPr>
        <w:t>A</w:t>
      </w:r>
      <w:r w:rsidRPr="00ED5AD0">
        <w:rPr>
          <w:rFonts w:cs="Arial"/>
          <w:b/>
          <w:bCs/>
          <w:szCs w:val="24"/>
        </w:rPr>
        <w:t xml:space="preserve">ppendix </w:t>
      </w:r>
      <w:r w:rsidR="002C1FCB" w:rsidRPr="00ED5AD0">
        <w:rPr>
          <w:rFonts w:cs="Arial"/>
          <w:b/>
          <w:bCs/>
          <w:szCs w:val="24"/>
        </w:rPr>
        <w:t>G</w:t>
      </w:r>
      <w:r w:rsidRPr="00ED5AD0">
        <w:rPr>
          <w:rFonts w:cs="Arial"/>
          <w:b/>
          <w:bCs/>
          <w:szCs w:val="24"/>
        </w:rPr>
        <w:t>)</w:t>
      </w:r>
      <w:r w:rsidRPr="00ED5AD0">
        <w:rPr>
          <w:rFonts w:cs="Arial"/>
          <w:szCs w:val="24"/>
        </w:rPr>
        <w:t xml:space="preserve"> that allows temporary vacancies for periods of less than one year to be filled internally.</w:t>
      </w:r>
      <w:r w:rsidR="004D4FD2" w:rsidRPr="00ED5AD0">
        <w:rPr>
          <w:rFonts w:cs="Arial"/>
          <w:szCs w:val="24"/>
        </w:rPr>
        <w:t xml:space="preserve">  </w:t>
      </w:r>
    </w:p>
    <w:p w14:paraId="6EC7FB81" w14:textId="77777777" w:rsidR="004D4FD2" w:rsidRPr="00ED5AD0" w:rsidRDefault="004D4FD2" w:rsidP="00540ECE">
      <w:pPr>
        <w:ind w:left="1276" w:hanging="850"/>
        <w:rPr>
          <w:rFonts w:cs="Arial"/>
          <w:szCs w:val="24"/>
        </w:rPr>
      </w:pPr>
    </w:p>
    <w:p w14:paraId="09086DBE" w14:textId="7F9998FD" w:rsidR="007E2FB6" w:rsidRPr="00ED5AD0" w:rsidRDefault="004D4FD2" w:rsidP="00D32888">
      <w:pPr>
        <w:numPr>
          <w:ilvl w:val="2"/>
          <w:numId w:val="15"/>
        </w:numPr>
        <w:ind w:left="1276" w:hanging="850"/>
        <w:rPr>
          <w:rFonts w:cs="Arial"/>
          <w:szCs w:val="24"/>
        </w:rPr>
      </w:pPr>
      <w:r w:rsidRPr="00ED5AD0">
        <w:rPr>
          <w:rFonts w:cs="Arial"/>
          <w:color w:val="000000"/>
          <w:szCs w:val="24"/>
        </w:rPr>
        <w:t xml:space="preserve">Appointments to </w:t>
      </w:r>
      <w:r w:rsidR="00205DCD" w:rsidRPr="00ED5AD0">
        <w:rPr>
          <w:rFonts w:cs="Arial"/>
          <w:color w:val="000000"/>
          <w:szCs w:val="24"/>
        </w:rPr>
        <w:t xml:space="preserve">non-statutory </w:t>
      </w:r>
      <w:r w:rsidR="005103EB" w:rsidRPr="00ED5AD0">
        <w:rPr>
          <w:rFonts w:cs="Arial"/>
          <w:color w:val="000000"/>
          <w:szCs w:val="24"/>
        </w:rPr>
        <w:t>Director</w:t>
      </w:r>
      <w:r w:rsidRPr="00ED5AD0">
        <w:rPr>
          <w:rFonts w:cs="Arial"/>
          <w:color w:val="000000"/>
          <w:szCs w:val="24"/>
        </w:rPr>
        <w:t xml:space="preserve"> </w:t>
      </w:r>
      <w:r w:rsidR="00205DCD" w:rsidRPr="00ED5AD0">
        <w:rPr>
          <w:rFonts w:cs="Arial"/>
          <w:color w:val="000000"/>
          <w:szCs w:val="24"/>
        </w:rPr>
        <w:t xml:space="preserve">and Chief Officer posts </w:t>
      </w:r>
      <w:r w:rsidRPr="00ED5AD0">
        <w:rPr>
          <w:rFonts w:cs="Arial"/>
          <w:color w:val="000000"/>
          <w:szCs w:val="24"/>
        </w:rPr>
        <w:t>are made by the Appointments and Conditions of Service Committee, subject to no objections being raised by Cabinet.</w:t>
      </w:r>
      <w:r w:rsidR="007E2FB6" w:rsidRPr="00ED5AD0">
        <w:rPr>
          <w:rFonts w:cs="Arial"/>
          <w:color w:val="000000"/>
          <w:szCs w:val="24"/>
        </w:rPr>
        <w:t xml:space="preserve">  </w:t>
      </w:r>
      <w:r w:rsidRPr="00ED5AD0">
        <w:rPr>
          <w:rFonts w:cs="Arial"/>
          <w:color w:val="000000"/>
          <w:szCs w:val="24"/>
        </w:rPr>
        <w:t xml:space="preserve">Appointment </w:t>
      </w:r>
      <w:r w:rsidR="00205DCD" w:rsidRPr="00ED5AD0">
        <w:rPr>
          <w:rFonts w:cs="Arial"/>
          <w:color w:val="000000"/>
          <w:szCs w:val="24"/>
        </w:rPr>
        <w:t xml:space="preserve">of the Chief Executive or Statutory Officers will be made by the Appointments and Conditions of Service Committee, subject to no objections being raised by Council. Appointment to all other NJC posts </w:t>
      </w:r>
      <w:r w:rsidR="00671CD6" w:rsidRPr="00ED5AD0">
        <w:rPr>
          <w:rFonts w:cs="Arial"/>
          <w:szCs w:val="24"/>
        </w:rPr>
        <w:t>is</w:t>
      </w:r>
      <w:r w:rsidRPr="00ED5AD0">
        <w:rPr>
          <w:rFonts w:cs="Arial"/>
          <w:szCs w:val="24"/>
        </w:rPr>
        <w:t xml:space="preserve"> made by officers delegated to act on behalf of the Chief Executive. </w:t>
      </w:r>
      <w:r w:rsidR="00B05B24" w:rsidRPr="00ED5AD0">
        <w:rPr>
          <w:rFonts w:cs="Arial"/>
          <w:szCs w:val="24"/>
        </w:rPr>
        <w:t xml:space="preserve">The Council’s </w:t>
      </w:r>
      <w:r w:rsidR="00205DCD" w:rsidRPr="00ED5AD0">
        <w:rPr>
          <w:rFonts w:cs="Arial"/>
          <w:szCs w:val="24"/>
        </w:rPr>
        <w:t>C</w:t>
      </w:r>
      <w:r w:rsidR="00B05B24" w:rsidRPr="00ED5AD0">
        <w:rPr>
          <w:rFonts w:cs="Arial"/>
          <w:szCs w:val="24"/>
        </w:rPr>
        <w:t>onstitution governs this process.</w:t>
      </w:r>
      <w:r w:rsidR="00911A21" w:rsidRPr="00ED5AD0">
        <w:rPr>
          <w:rFonts w:cs="Arial"/>
          <w:szCs w:val="24"/>
        </w:rPr>
        <w:t xml:space="preserve"> </w:t>
      </w:r>
    </w:p>
    <w:p w14:paraId="2366B877" w14:textId="77777777" w:rsidR="00911A21" w:rsidRPr="00ED5AD0" w:rsidRDefault="00911A21" w:rsidP="00540ECE">
      <w:pPr>
        <w:ind w:left="1276" w:hanging="850"/>
        <w:rPr>
          <w:rFonts w:cs="Arial"/>
          <w:szCs w:val="24"/>
        </w:rPr>
      </w:pPr>
    </w:p>
    <w:p w14:paraId="36BF67AD" w14:textId="77777777" w:rsidR="0026190E" w:rsidRPr="00ED5AD0" w:rsidRDefault="0026190E" w:rsidP="00540ECE">
      <w:pPr>
        <w:ind w:left="1276" w:hanging="850"/>
        <w:rPr>
          <w:rFonts w:cs="Arial"/>
          <w:szCs w:val="24"/>
        </w:rPr>
      </w:pPr>
    </w:p>
    <w:p w14:paraId="4F5FA9FE" w14:textId="00F26318" w:rsidR="00911A21" w:rsidRPr="00ED5AD0" w:rsidRDefault="00911A21" w:rsidP="00D32888">
      <w:pPr>
        <w:numPr>
          <w:ilvl w:val="2"/>
          <w:numId w:val="15"/>
        </w:numPr>
        <w:ind w:left="1276" w:hanging="850"/>
        <w:rPr>
          <w:rFonts w:cs="Arial"/>
          <w:szCs w:val="24"/>
        </w:rPr>
      </w:pPr>
      <w:r w:rsidRPr="00ED5AD0">
        <w:rPr>
          <w:rFonts w:cs="Arial"/>
          <w:szCs w:val="24"/>
        </w:rPr>
        <w:lastRenderedPageBreak/>
        <w:t>Dismissal of Statutory Officers (</w:t>
      </w:r>
      <w:r w:rsidR="004D14B5" w:rsidRPr="00ED5AD0">
        <w:rPr>
          <w:rFonts w:cs="Arial"/>
          <w:szCs w:val="24"/>
        </w:rPr>
        <w:t xml:space="preserve">Deputy Chief Executive, </w:t>
      </w:r>
      <w:r w:rsidR="00AD3716" w:rsidRPr="00ED5AD0">
        <w:rPr>
          <w:rFonts w:cs="Arial"/>
          <w:szCs w:val="24"/>
        </w:rPr>
        <w:t>Head of Paid Service,</w:t>
      </w:r>
      <w:r w:rsidRPr="00ED5AD0">
        <w:rPr>
          <w:rFonts w:cs="Arial"/>
          <w:szCs w:val="24"/>
        </w:rPr>
        <w:t xml:space="preserve"> Monitoring Officer and Chief Financial (Section 151) Officer) </w:t>
      </w:r>
      <w:r w:rsidR="00B05B24" w:rsidRPr="00ED5AD0">
        <w:rPr>
          <w:rFonts w:cs="Arial"/>
          <w:szCs w:val="24"/>
        </w:rPr>
        <w:t xml:space="preserve">is </w:t>
      </w:r>
      <w:r w:rsidRPr="00ED5AD0">
        <w:rPr>
          <w:rFonts w:cs="Arial"/>
          <w:szCs w:val="24"/>
        </w:rPr>
        <w:t xml:space="preserve">made through the Appointments and Conditions of Service Committee which will first consider the case and make an initial determination </w:t>
      </w:r>
      <w:r w:rsidR="00B05B24" w:rsidRPr="00ED5AD0">
        <w:rPr>
          <w:rFonts w:cs="Arial"/>
          <w:szCs w:val="24"/>
        </w:rPr>
        <w:t xml:space="preserve">that </w:t>
      </w:r>
      <w:r w:rsidRPr="00ED5AD0">
        <w:rPr>
          <w:rFonts w:cs="Arial"/>
          <w:szCs w:val="24"/>
        </w:rPr>
        <w:t xml:space="preserve">will </w:t>
      </w:r>
      <w:r w:rsidR="00A016BD" w:rsidRPr="00ED5AD0">
        <w:rPr>
          <w:rFonts w:cs="Arial"/>
          <w:szCs w:val="24"/>
        </w:rPr>
        <w:t>be subsequently referred to an I</w:t>
      </w:r>
      <w:r w:rsidRPr="00ED5AD0">
        <w:rPr>
          <w:rFonts w:cs="Arial"/>
          <w:szCs w:val="24"/>
        </w:rPr>
        <w:t xml:space="preserve">ndependent Panel charged with making a recommendation to Council at which a decision will be taken to approve or reject the dismissal. </w:t>
      </w:r>
      <w:r w:rsidR="00A016BD" w:rsidRPr="00ED5AD0">
        <w:rPr>
          <w:rFonts w:cs="Arial"/>
          <w:szCs w:val="24"/>
        </w:rPr>
        <w:t xml:space="preserve">Dismissal of </w:t>
      </w:r>
      <w:r w:rsidR="005103EB" w:rsidRPr="00ED5AD0">
        <w:rPr>
          <w:rFonts w:cs="Arial"/>
          <w:szCs w:val="24"/>
        </w:rPr>
        <w:t>Director</w:t>
      </w:r>
      <w:r w:rsidR="00A016BD" w:rsidRPr="00ED5AD0">
        <w:rPr>
          <w:rFonts w:cs="Arial"/>
          <w:szCs w:val="24"/>
        </w:rPr>
        <w:t xml:space="preserve">s that are not Statutory Officers </w:t>
      </w:r>
      <w:r w:rsidR="00F01B65" w:rsidRPr="00ED5AD0">
        <w:rPr>
          <w:rFonts w:cs="Arial"/>
          <w:szCs w:val="24"/>
        </w:rPr>
        <w:t xml:space="preserve">and other chief officers including </w:t>
      </w:r>
      <w:r w:rsidR="004D14B5" w:rsidRPr="00ED5AD0">
        <w:rPr>
          <w:rFonts w:cs="Arial"/>
          <w:szCs w:val="24"/>
        </w:rPr>
        <w:t xml:space="preserve">Assistant </w:t>
      </w:r>
      <w:r w:rsidR="005103EB" w:rsidRPr="00ED5AD0">
        <w:rPr>
          <w:rFonts w:cs="Arial"/>
          <w:szCs w:val="24"/>
        </w:rPr>
        <w:t>Director</w:t>
      </w:r>
      <w:r w:rsidR="004D14B5" w:rsidRPr="00ED5AD0">
        <w:rPr>
          <w:rFonts w:cs="Arial"/>
          <w:szCs w:val="24"/>
        </w:rPr>
        <w:t>s</w:t>
      </w:r>
      <w:r w:rsidR="00F01B65" w:rsidRPr="00ED5AD0">
        <w:rPr>
          <w:rFonts w:cs="Arial"/>
          <w:szCs w:val="24"/>
        </w:rPr>
        <w:t xml:space="preserve"> </w:t>
      </w:r>
      <w:r w:rsidR="00A016BD" w:rsidRPr="00ED5AD0">
        <w:rPr>
          <w:rFonts w:cs="Arial"/>
          <w:szCs w:val="24"/>
        </w:rPr>
        <w:t>will not be referred to an Independent Panel</w:t>
      </w:r>
      <w:r w:rsidR="00F01B65" w:rsidRPr="00ED5AD0">
        <w:rPr>
          <w:rFonts w:cs="Arial"/>
          <w:szCs w:val="24"/>
        </w:rPr>
        <w:t xml:space="preserve"> or to Council; the decision will be within the remit of the Appointments and Conditions of Service Committee</w:t>
      </w:r>
      <w:r w:rsidR="00A016BD" w:rsidRPr="00ED5AD0">
        <w:rPr>
          <w:rFonts w:cs="Arial"/>
          <w:szCs w:val="24"/>
        </w:rPr>
        <w:t xml:space="preserve">.  Dismissal from all other posts is made by the Chief Executive or to officers delegated to act on behalf of the Chief Executive.   </w:t>
      </w:r>
      <w:r w:rsidR="00667DA5" w:rsidRPr="00ED5AD0">
        <w:rPr>
          <w:rFonts w:cs="Arial"/>
          <w:szCs w:val="24"/>
        </w:rPr>
        <w:t>The Council’</w:t>
      </w:r>
      <w:r w:rsidR="00F01B65" w:rsidRPr="00ED5AD0">
        <w:rPr>
          <w:rFonts w:cs="Arial"/>
          <w:szCs w:val="24"/>
        </w:rPr>
        <w:t>s C</w:t>
      </w:r>
      <w:r w:rsidR="00667DA5" w:rsidRPr="00ED5AD0">
        <w:rPr>
          <w:rFonts w:cs="Arial"/>
          <w:szCs w:val="24"/>
        </w:rPr>
        <w:t xml:space="preserve">onstitution sets out the process for dismissal of Statutory Officers and other Chief Officers. </w:t>
      </w:r>
      <w:r w:rsidR="00213E31" w:rsidRPr="00ED5AD0">
        <w:rPr>
          <w:rFonts w:cs="Arial"/>
          <w:szCs w:val="24"/>
        </w:rPr>
        <w:t xml:space="preserve">Where they exist, model procedures contained within national Chief Officers’ </w:t>
      </w:r>
      <w:r w:rsidR="00F01B65" w:rsidRPr="00ED5AD0">
        <w:rPr>
          <w:rFonts w:cs="Arial"/>
          <w:szCs w:val="24"/>
        </w:rPr>
        <w:t xml:space="preserve">or Chief Executives’ </w:t>
      </w:r>
      <w:r w:rsidR="00213E31" w:rsidRPr="00ED5AD0">
        <w:rPr>
          <w:rFonts w:cs="Arial"/>
          <w:szCs w:val="24"/>
        </w:rPr>
        <w:t xml:space="preserve">terms and conditions will be used as guidance. </w:t>
      </w:r>
    </w:p>
    <w:p w14:paraId="240952C9" w14:textId="77777777" w:rsidR="007E2FB6" w:rsidRPr="00ED5AD0" w:rsidRDefault="007E2FB6" w:rsidP="00540ECE">
      <w:pPr>
        <w:ind w:left="1276" w:hanging="850"/>
        <w:rPr>
          <w:rFonts w:cs="Arial"/>
          <w:szCs w:val="24"/>
        </w:rPr>
      </w:pPr>
    </w:p>
    <w:p w14:paraId="14B9B6DF" w14:textId="3C7ED54D" w:rsidR="00911A21" w:rsidRPr="00ED5AD0" w:rsidRDefault="007E2FB6" w:rsidP="00D32888">
      <w:pPr>
        <w:numPr>
          <w:ilvl w:val="2"/>
          <w:numId w:val="15"/>
        </w:numPr>
        <w:ind w:left="1276" w:hanging="850"/>
        <w:rPr>
          <w:rFonts w:cs="Arial"/>
          <w:szCs w:val="24"/>
        </w:rPr>
      </w:pPr>
      <w:r w:rsidRPr="00ED5AD0">
        <w:rPr>
          <w:rFonts w:cs="Arial"/>
          <w:szCs w:val="24"/>
        </w:rPr>
        <w:t xml:space="preserve">In respect to appointment to any post, where </w:t>
      </w:r>
      <w:r w:rsidR="00A80ACE" w:rsidRPr="00ED5AD0">
        <w:rPr>
          <w:rFonts w:cs="Arial"/>
          <w:szCs w:val="24"/>
        </w:rPr>
        <w:t xml:space="preserve">the grade of </w:t>
      </w:r>
      <w:r w:rsidRPr="00ED5AD0">
        <w:rPr>
          <w:rFonts w:cs="Arial"/>
          <w:szCs w:val="24"/>
        </w:rPr>
        <w:t>a post compromises a range of pay points, the general practice is that appointment is made to the bottom pay point other than in cases where the successful candidate can demonstrate that their experience or skill set is of relevant and exceptional nature</w:t>
      </w:r>
      <w:r w:rsidR="00726999" w:rsidRPr="00ED5AD0">
        <w:rPr>
          <w:rFonts w:cs="Arial"/>
          <w:szCs w:val="24"/>
        </w:rPr>
        <w:t>.  I</w:t>
      </w:r>
      <w:r w:rsidRPr="00ED5AD0">
        <w:rPr>
          <w:rFonts w:cs="Arial"/>
          <w:szCs w:val="24"/>
        </w:rPr>
        <w:t xml:space="preserve">n </w:t>
      </w:r>
      <w:r w:rsidR="00A80ACE" w:rsidRPr="00ED5AD0">
        <w:rPr>
          <w:rFonts w:cs="Arial"/>
          <w:szCs w:val="24"/>
        </w:rPr>
        <w:t>such</w:t>
      </w:r>
      <w:r w:rsidRPr="00ED5AD0">
        <w:rPr>
          <w:rFonts w:cs="Arial"/>
          <w:szCs w:val="24"/>
        </w:rPr>
        <w:t xml:space="preserve"> case</w:t>
      </w:r>
      <w:r w:rsidR="00A80ACE" w:rsidRPr="00ED5AD0">
        <w:rPr>
          <w:rFonts w:cs="Arial"/>
          <w:szCs w:val="24"/>
        </w:rPr>
        <w:t>s, for</w:t>
      </w:r>
      <w:r w:rsidR="00726999" w:rsidRPr="00ED5AD0">
        <w:rPr>
          <w:rFonts w:cs="Arial"/>
          <w:szCs w:val="24"/>
        </w:rPr>
        <w:t xml:space="preserve"> </w:t>
      </w:r>
      <w:r w:rsidR="007F1562" w:rsidRPr="00ED5AD0">
        <w:rPr>
          <w:rFonts w:cs="Arial"/>
          <w:szCs w:val="24"/>
        </w:rPr>
        <w:t>officers</w:t>
      </w:r>
      <w:r w:rsidR="00726999" w:rsidRPr="00ED5AD0">
        <w:rPr>
          <w:rFonts w:cs="Arial"/>
          <w:szCs w:val="24"/>
        </w:rPr>
        <w:t xml:space="preserve"> working under NJC conditions, </w:t>
      </w:r>
      <w:r w:rsidRPr="00ED5AD0">
        <w:rPr>
          <w:rFonts w:cs="Arial"/>
          <w:szCs w:val="24"/>
        </w:rPr>
        <w:t>a</w:t>
      </w:r>
      <w:r w:rsidR="004D14B5" w:rsidRPr="00ED5AD0">
        <w:rPr>
          <w:rFonts w:cs="Arial"/>
          <w:szCs w:val="24"/>
        </w:rPr>
        <w:t xml:space="preserve">n Assistant </w:t>
      </w:r>
      <w:r w:rsidR="005103EB" w:rsidRPr="00ED5AD0">
        <w:rPr>
          <w:rFonts w:cs="Arial"/>
          <w:szCs w:val="24"/>
        </w:rPr>
        <w:t>Director</w:t>
      </w:r>
      <w:r w:rsidRPr="00ED5AD0">
        <w:rPr>
          <w:rFonts w:cs="Arial"/>
          <w:szCs w:val="24"/>
        </w:rPr>
        <w:t xml:space="preserve"> may agree to commencement at a higher pay point.  </w:t>
      </w:r>
      <w:r w:rsidR="00A016BD" w:rsidRPr="00ED5AD0">
        <w:rPr>
          <w:rFonts w:cs="Arial"/>
          <w:szCs w:val="24"/>
        </w:rPr>
        <w:t>For a JNC post, the decision about pay on appointment will rest with the appointing officer o</w:t>
      </w:r>
      <w:r w:rsidR="002C4201" w:rsidRPr="00ED5AD0">
        <w:rPr>
          <w:rFonts w:cs="Arial"/>
          <w:szCs w:val="24"/>
        </w:rPr>
        <w:t>r</w:t>
      </w:r>
      <w:r w:rsidR="00A016BD" w:rsidRPr="00ED5AD0">
        <w:rPr>
          <w:rFonts w:cs="Arial"/>
          <w:szCs w:val="24"/>
        </w:rPr>
        <w:t xml:space="preserve"> </w:t>
      </w:r>
      <w:r w:rsidR="002C4201" w:rsidRPr="00ED5AD0">
        <w:rPr>
          <w:rFonts w:cs="Arial"/>
          <w:szCs w:val="24"/>
        </w:rPr>
        <w:t xml:space="preserve">committee as appropriate. </w:t>
      </w:r>
    </w:p>
    <w:p w14:paraId="33A95849" w14:textId="77777777" w:rsidR="00911A21" w:rsidRPr="00ED5AD0" w:rsidRDefault="00911A21" w:rsidP="00540ECE">
      <w:pPr>
        <w:ind w:left="1276" w:hanging="850"/>
        <w:rPr>
          <w:rFonts w:cs="Arial"/>
          <w:szCs w:val="24"/>
        </w:rPr>
      </w:pPr>
    </w:p>
    <w:p w14:paraId="02ACC91B" w14:textId="1E00A337" w:rsidR="00541B83" w:rsidRPr="00ED5AD0" w:rsidRDefault="00726999" w:rsidP="00D32888">
      <w:pPr>
        <w:numPr>
          <w:ilvl w:val="2"/>
          <w:numId w:val="15"/>
        </w:numPr>
        <w:ind w:left="1276" w:hanging="850"/>
        <w:rPr>
          <w:rFonts w:cs="Arial"/>
          <w:szCs w:val="24"/>
        </w:rPr>
      </w:pPr>
      <w:r w:rsidRPr="00ED5AD0">
        <w:rPr>
          <w:rFonts w:cs="Arial"/>
          <w:szCs w:val="24"/>
        </w:rPr>
        <w:t xml:space="preserve">For </w:t>
      </w:r>
      <w:r w:rsidR="005103EB" w:rsidRPr="00ED5AD0">
        <w:rPr>
          <w:rFonts w:cs="Arial"/>
          <w:szCs w:val="24"/>
        </w:rPr>
        <w:t>Director</w:t>
      </w:r>
      <w:r w:rsidR="00911A21" w:rsidRPr="00ED5AD0">
        <w:rPr>
          <w:rFonts w:cs="Arial"/>
          <w:szCs w:val="24"/>
        </w:rPr>
        <w:t xml:space="preserve">s </w:t>
      </w:r>
      <w:r w:rsidR="00A80ACE" w:rsidRPr="00ED5AD0">
        <w:rPr>
          <w:rFonts w:cs="Arial"/>
          <w:szCs w:val="24"/>
        </w:rPr>
        <w:t>governed by JNC conditions</w:t>
      </w:r>
      <w:r w:rsidRPr="00ED5AD0">
        <w:rPr>
          <w:rFonts w:cs="Arial"/>
          <w:szCs w:val="24"/>
        </w:rPr>
        <w:t xml:space="preserve">, pay at appointment and subsequent </w:t>
      </w:r>
      <w:r w:rsidR="00885928" w:rsidRPr="00ED5AD0">
        <w:rPr>
          <w:rFonts w:cs="Arial"/>
          <w:szCs w:val="24"/>
        </w:rPr>
        <w:t>advancement through the pay grade</w:t>
      </w:r>
      <w:r w:rsidRPr="00ED5AD0">
        <w:rPr>
          <w:rFonts w:cs="Arial"/>
          <w:szCs w:val="24"/>
        </w:rPr>
        <w:t xml:space="preserve"> is determined by the Chief Executive following consulta</w:t>
      </w:r>
      <w:r w:rsidR="00911A21" w:rsidRPr="00ED5AD0">
        <w:rPr>
          <w:rFonts w:cs="Arial"/>
          <w:szCs w:val="24"/>
        </w:rPr>
        <w:t>tion with the Appointments and Conditions of Service C</w:t>
      </w:r>
      <w:r w:rsidRPr="00ED5AD0">
        <w:rPr>
          <w:rFonts w:cs="Arial"/>
          <w:szCs w:val="24"/>
        </w:rPr>
        <w:t xml:space="preserve">ommittee as detailed in </w:t>
      </w:r>
      <w:r w:rsidRPr="00ED5AD0">
        <w:rPr>
          <w:rFonts w:cs="Arial"/>
          <w:b/>
          <w:bCs/>
          <w:szCs w:val="24"/>
        </w:rPr>
        <w:t xml:space="preserve">Appendix </w:t>
      </w:r>
      <w:r w:rsidR="002C1FCB" w:rsidRPr="00ED5AD0">
        <w:rPr>
          <w:rFonts w:cs="Arial"/>
          <w:b/>
          <w:bCs/>
          <w:szCs w:val="24"/>
        </w:rPr>
        <w:t>H</w:t>
      </w:r>
      <w:r w:rsidRPr="00ED5AD0">
        <w:rPr>
          <w:rFonts w:cs="Arial"/>
          <w:szCs w:val="24"/>
        </w:rPr>
        <w:t xml:space="preserve">. </w:t>
      </w:r>
      <w:r w:rsidR="007E2FB6" w:rsidRPr="00ED5AD0">
        <w:rPr>
          <w:rFonts w:cs="Arial"/>
          <w:szCs w:val="24"/>
        </w:rPr>
        <w:t xml:space="preserve">The same </w:t>
      </w:r>
      <w:r w:rsidRPr="00ED5AD0">
        <w:rPr>
          <w:rFonts w:cs="Arial"/>
          <w:szCs w:val="24"/>
        </w:rPr>
        <w:t xml:space="preserve">general </w:t>
      </w:r>
      <w:r w:rsidR="007E2FB6" w:rsidRPr="00ED5AD0">
        <w:rPr>
          <w:rFonts w:cs="Arial"/>
          <w:szCs w:val="24"/>
        </w:rPr>
        <w:t>principle</w:t>
      </w:r>
      <w:r w:rsidRPr="00ED5AD0">
        <w:rPr>
          <w:rFonts w:cs="Arial"/>
          <w:szCs w:val="24"/>
        </w:rPr>
        <w:t xml:space="preserve">s governing </w:t>
      </w:r>
      <w:r w:rsidR="002E4929" w:rsidRPr="00ED5AD0">
        <w:rPr>
          <w:rFonts w:cs="Arial"/>
          <w:szCs w:val="24"/>
        </w:rPr>
        <w:t>application of pay points</w:t>
      </w:r>
      <w:r w:rsidR="007E2FB6" w:rsidRPr="00ED5AD0">
        <w:rPr>
          <w:rFonts w:cs="Arial"/>
          <w:szCs w:val="24"/>
        </w:rPr>
        <w:t xml:space="preserve"> appl</w:t>
      </w:r>
      <w:r w:rsidRPr="00ED5AD0">
        <w:rPr>
          <w:rFonts w:cs="Arial"/>
          <w:szCs w:val="24"/>
        </w:rPr>
        <w:t>y</w:t>
      </w:r>
      <w:r w:rsidR="007E2FB6" w:rsidRPr="00ED5AD0">
        <w:rPr>
          <w:rFonts w:cs="Arial"/>
          <w:szCs w:val="24"/>
        </w:rPr>
        <w:t xml:space="preserve"> both to external appointment and internal promotion. </w:t>
      </w:r>
    </w:p>
    <w:p w14:paraId="39ABC975" w14:textId="77777777" w:rsidR="00541B83" w:rsidRPr="00ED5AD0" w:rsidRDefault="00541B83" w:rsidP="0092436B">
      <w:pPr>
        <w:pStyle w:val="ListParagraph"/>
        <w:spacing w:after="0"/>
        <w:rPr>
          <w:rFonts w:cs="Arial"/>
          <w:szCs w:val="24"/>
        </w:rPr>
      </w:pPr>
    </w:p>
    <w:p w14:paraId="0E5C4D46" w14:textId="387E9888" w:rsidR="00541B83" w:rsidRPr="00ED5AD0" w:rsidRDefault="00541B83" w:rsidP="00D32888">
      <w:pPr>
        <w:numPr>
          <w:ilvl w:val="2"/>
          <w:numId w:val="15"/>
        </w:numPr>
        <w:ind w:left="1276" w:hanging="850"/>
        <w:rPr>
          <w:rFonts w:cs="Arial"/>
          <w:szCs w:val="24"/>
        </w:rPr>
      </w:pPr>
      <w:r w:rsidRPr="00ED5AD0">
        <w:rPr>
          <w:rFonts w:cs="Arial"/>
          <w:szCs w:val="24"/>
        </w:rPr>
        <w:t>A similar scheme linking pay to performance exists for the Chie</w:t>
      </w:r>
      <w:r w:rsidR="001C6821" w:rsidRPr="00ED5AD0">
        <w:rPr>
          <w:rFonts w:cs="Arial"/>
          <w:szCs w:val="24"/>
        </w:rPr>
        <w:t>f</w:t>
      </w:r>
      <w:r w:rsidRPr="00ED5AD0">
        <w:rPr>
          <w:rFonts w:cs="Arial"/>
          <w:szCs w:val="24"/>
        </w:rPr>
        <w:t xml:space="preserve"> Executive. This is shown at </w:t>
      </w:r>
      <w:r w:rsidRPr="00ED5AD0">
        <w:rPr>
          <w:rFonts w:cs="Arial"/>
          <w:b/>
          <w:bCs/>
          <w:szCs w:val="24"/>
        </w:rPr>
        <w:t xml:space="preserve">Appendix </w:t>
      </w:r>
      <w:r w:rsidR="002C1FCB" w:rsidRPr="00ED5AD0">
        <w:rPr>
          <w:rFonts w:cs="Arial"/>
          <w:b/>
          <w:bCs/>
          <w:szCs w:val="24"/>
        </w:rPr>
        <w:t>I</w:t>
      </w:r>
      <w:r w:rsidR="004D14B5" w:rsidRPr="00ED5AD0">
        <w:rPr>
          <w:rFonts w:cs="Arial"/>
          <w:b/>
          <w:bCs/>
          <w:szCs w:val="24"/>
        </w:rPr>
        <w:t>.</w:t>
      </w:r>
    </w:p>
    <w:p w14:paraId="060D30A7" w14:textId="77777777" w:rsidR="00911A21" w:rsidRPr="00ED5AD0" w:rsidRDefault="00911A21" w:rsidP="00540ECE">
      <w:pPr>
        <w:ind w:left="1276" w:hanging="850"/>
        <w:rPr>
          <w:rFonts w:cs="Arial"/>
          <w:szCs w:val="24"/>
        </w:rPr>
      </w:pPr>
    </w:p>
    <w:p w14:paraId="43102F50" w14:textId="2A90DB48" w:rsidR="0040416F" w:rsidRPr="00ED5AD0" w:rsidRDefault="00FF7AF8" w:rsidP="00D32888">
      <w:pPr>
        <w:numPr>
          <w:ilvl w:val="2"/>
          <w:numId w:val="15"/>
        </w:numPr>
        <w:ind w:left="1276" w:hanging="850"/>
        <w:rPr>
          <w:rFonts w:cs="Arial"/>
          <w:color w:val="000000"/>
          <w:szCs w:val="24"/>
        </w:rPr>
      </w:pPr>
      <w:r w:rsidRPr="00ED5AD0">
        <w:rPr>
          <w:rFonts w:cs="Arial"/>
          <w:color w:val="000000"/>
          <w:szCs w:val="24"/>
        </w:rPr>
        <w:t>The Council has an established training grade which mirrors the national pay rates for apprentices</w:t>
      </w:r>
      <w:r w:rsidR="009E2447" w:rsidRPr="00ED5AD0">
        <w:rPr>
          <w:rFonts w:cs="Arial"/>
          <w:color w:val="000000"/>
          <w:szCs w:val="24"/>
        </w:rPr>
        <w:t>.</w:t>
      </w:r>
      <w:r w:rsidRPr="00ED5AD0">
        <w:rPr>
          <w:rFonts w:cs="Arial"/>
          <w:color w:val="000000"/>
          <w:szCs w:val="24"/>
        </w:rPr>
        <w:t xml:space="preserve">  The </w:t>
      </w:r>
      <w:r w:rsidR="0040416F" w:rsidRPr="00ED5AD0">
        <w:rPr>
          <w:rFonts w:cs="Arial"/>
          <w:color w:val="000000"/>
          <w:szCs w:val="24"/>
        </w:rPr>
        <w:t xml:space="preserve">policy relating to the application of this arrangement was adopted in September 2016.  Although potentially applicable to a training post of any type, the grade is designed to be applied specifically to </w:t>
      </w:r>
      <w:r w:rsidR="00ED3CBC" w:rsidRPr="00ED5AD0">
        <w:rPr>
          <w:rFonts w:cs="Arial"/>
          <w:color w:val="000000"/>
          <w:szCs w:val="24"/>
        </w:rPr>
        <w:t xml:space="preserve">entry-level </w:t>
      </w:r>
      <w:r w:rsidR="0040416F" w:rsidRPr="00ED5AD0">
        <w:rPr>
          <w:rFonts w:cs="Arial"/>
          <w:color w:val="000000"/>
          <w:szCs w:val="24"/>
        </w:rPr>
        <w:t xml:space="preserve">apprentices employed directly by the Council.  </w:t>
      </w:r>
    </w:p>
    <w:p w14:paraId="5EF3F630" w14:textId="77777777" w:rsidR="00CE232E" w:rsidRPr="00ED5AD0" w:rsidRDefault="00CE232E" w:rsidP="0040416F">
      <w:pPr>
        <w:ind w:left="1276"/>
        <w:rPr>
          <w:rFonts w:cs="Arial"/>
          <w:szCs w:val="24"/>
        </w:rPr>
      </w:pPr>
    </w:p>
    <w:p w14:paraId="50387F61" w14:textId="77777777" w:rsidR="006A2FEA" w:rsidRPr="00ED5AD0" w:rsidRDefault="00885928" w:rsidP="00D32888">
      <w:pPr>
        <w:numPr>
          <w:ilvl w:val="2"/>
          <w:numId w:val="15"/>
        </w:numPr>
        <w:ind w:left="1276" w:hanging="850"/>
        <w:rPr>
          <w:rFonts w:cs="Arial"/>
          <w:szCs w:val="24"/>
        </w:rPr>
      </w:pPr>
      <w:r w:rsidRPr="00ED5AD0">
        <w:rPr>
          <w:rFonts w:cs="Arial"/>
          <w:szCs w:val="24"/>
        </w:rPr>
        <w:t>A</w:t>
      </w:r>
      <w:r w:rsidR="001F5D9D" w:rsidRPr="00ED5AD0">
        <w:rPr>
          <w:rFonts w:cs="Arial"/>
          <w:szCs w:val="24"/>
        </w:rPr>
        <w:t>s a general principle and where business need allows, the Council support</w:t>
      </w:r>
      <w:r w:rsidRPr="00ED5AD0">
        <w:rPr>
          <w:rFonts w:cs="Arial"/>
          <w:szCs w:val="24"/>
        </w:rPr>
        <w:t>s</w:t>
      </w:r>
      <w:r w:rsidR="001F5D9D" w:rsidRPr="00ED5AD0">
        <w:rPr>
          <w:rFonts w:cs="Arial"/>
          <w:szCs w:val="24"/>
        </w:rPr>
        <w:t xml:space="preserve"> the sharing of posts (job share) between two or more people.  </w:t>
      </w:r>
      <w:r w:rsidRPr="00ED5AD0">
        <w:rPr>
          <w:rFonts w:cs="Arial"/>
          <w:szCs w:val="24"/>
        </w:rPr>
        <w:t>A</w:t>
      </w:r>
      <w:r w:rsidR="00CE232E" w:rsidRPr="00ED5AD0">
        <w:rPr>
          <w:rFonts w:cs="Arial"/>
          <w:szCs w:val="24"/>
        </w:rPr>
        <w:t xml:space="preserve">ppointments </w:t>
      </w:r>
      <w:r w:rsidRPr="00ED5AD0">
        <w:rPr>
          <w:rFonts w:cs="Arial"/>
          <w:szCs w:val="24"/>
        </w:rPr>
        <w:t xml:space="preserve">will be </w:t>
      </w:r>
      <w:r w:rsidR="00CE232E" w:rsidRPr="00ED5AD0">
        <w:rPr>
          <w:rFonts w:cs="Arial"/>
          <w:szCs w:val="24"/>
        </w:rPr>
        <w:t>made on merit</w:t>
      </w:r>
      <w:r w:rsidR="007E2FB6" w:rsidRPr="00ED5AD0">
        <w:rPr>
          <w:rFonts w:cs="Arial"/>
          <w:szCs w:val="24"/>
        </w:rPr>
        <w:t xml:space="preserve">.  Appointment for any job share partner will be made within the confines of the pay grade, determined through job evaluation and within the principles as described above in relation to </w:t>
      </w:r>
      <w:r w:rsidR="00C51E8C" w:rsidRPr="00ED5AD0">
        <w:rPr>
          <w:rFonts w:cs="Arial"/>
          <w:szCs w:val="24"/>
        </w:rPr>
        <w:t>the determination of starting salary.</w:t>
      </w:r>
      <w:r w:rsidR="006A2FEA" w:rsidRPr="00ED5AD0">
        <w:rPr>
          <w:rFonts w:cs="Arial"/>
          <w:szCs w:val="24"/>
        </w:rPr>
        <w:t xml:space="preserve">  </w:t>
      </w:r>
    </w:p>
    <w:p w14:paraId="227B9451" w14:textId="77777777" w:rsidR="00522C4C" w:rsidRPr="00ED5AD0" w:rsidRDefault="00522C4C" w:rsidP="00540ECE">
      <w:pPr>
        <w:ind w:left="1276" w:hanging="850"/>
        <w:rPr>
          <w:rFonts w:cs="Arial"/>
          <w:szCs w:val="24"/>
        </w:rPr>
      </w:pPr>
    </w:p>
    <w:p w14:paraId="79F5A65D" w14:textId="77777777" w:rsidR="00FA08EE" w:rsidRPr="00ED5AD0" w:rsidRDefault="007F1562" w:rsidP="00D32888">
      <w:pPr>
        <w:numPr>
          <w:ilvl w:val="2"/>
          <w:numId w:val="15"/>
        </w:numPr>
        <w:ind w:left="1276" w:hanging="850"/>
        <w:rPr>
          <w:rFonts w:cs="Arial"/>
          <w:szCs w:val="24"/>
        </w:rPr>
      </w:pPr>
      <w:r w:rsidRPr="00ED5AD0">
        <w:rPr>
          <w:rFonts w:cs="Arial"/>
          <w:szCs w:val="24"/>
        </w:rPr>
        <w:t xml:space="preserve">In 2013 </w:t>
      </w:r>
      <w:r w:rsidR="00FA08EE" w:rsidRPr="00ED5AD0">
        <w:rPr>
          <w:rFonts w:cs="Arial"/>
          <w:szCs w:val="24"/>
        </w:rPr>
        <w:t xml:space="preserve">supplementary guidance </w:t>
      </w:r>
      <w:r w:rsidRPr="00ED5AD0">
        <w:rPr>
          <w:rFonts w:cs="Arial"/>
          <w:szCs w:val="24"/>
        </w:rPr>
        <w:t>was</w:t>
      </w:r>
      <w:r w:rsidR="00FA08EE" w:rsidRPr="00ED5AD0">
        <w:rPr>
          <w:rFonts w:cs="Arial"/>
          <w:szCs w:val="24"/>
        </w:rPr>
        <w:t xml:space="preserve"> offered by the Department for Communities and Local Government under section 40 of the Localism Act 2011 about decisions relating to appointments and dismissal from senior posts where the costs of such decisions are likely to be high.  The Secretary of State considers that a salary of £100,000 is the right level for the threshold of such decisions. </w:t>
      </w:r>
    </w:p>
    <w:p w14:paraId="5FFC2DCD" w14:textId="77777777" w:rsidR="00B05B24" w:rsidRPr="00ED5AD0" w:rsidRDefault="00B05B24" w:rsidP="00B05B24">
      <w:pPr>
        <w:ind w:left="1276"/>
        <w:rPr>
          <w:rFonts w:cs="Arial"/>
          <w:szCs w:val="24"/>
        </w:rPr>
      </w:pPr>
    </w:p>
    <w:p w14:paraId="68760097" w14:textId="5ED196C9" w:rsidR="00FA08EE" w:rsidRPr="00ED5AD0" w:rsidRDefault="00FA08EE" w:rsidP="00B05B24">
      <w:pPr>
        <w:ind w:left="1276"/>
        <w:rPr>
          <w:rFonts w:cs="Arial"/>
          <w:szCs w:val="24"/>
        </w:rPr>
      </w:pPr>
      <w:r w:rsidRPr="00ED5AD0">
        <w:rPr>
          <w:rFonts w:cs="Arial"/>
          <w:szCs w:val="24"/>
        </w:rPr>
        <w:t>In the year 20</w:t>
      </w:r>
      <w:r w:rsidR="001C6821" w:rsidRPr="00ED5AD0">
        <w:rPr>
          <w:rFonts w:cs="Arial"/>
          <w:szCs w:val="24"/>
        </w:rPr>
        <w:t>2</w:t>
      </w:r>
      <w:r w:rsidR="002C1FCB" w:rsidRPr="00ED5AD0">
        <w:rPr>
          <w:rFonts w:cs="Arial"/>
          <w:szCs w:val="24"/>
        </w:rPr>
        <w:t>4</w:t>
      </w:r>
      <w:r w:rsidR="001C6821" w:rsidRPr="00ED5AD0">
        <w:rPr>
          <w:rFonts w:cs="Arial"/>
          <w:szCs w:val="24"/>
        </w:rPr>
        <w:t>/</w:t>
      </w:r>
      <w:r w:rsidR="00541B83" w:rsidRPr="00ED5AD0">
        <w:rPr>
          <w:rFonts w:cs="Arial"/>
          <w:szCs w:val="24"/>
        </w:rPr>
        <w:t>2</w:t>
      </w:r>
      <w:r w:rsidR="002C1FCB" w:rsidRPr="00ED5AD0">
        <w:rPr>
          <w:rFonts w:cs="Arial"/>
          <w:szCs w:val="24"/>
        </w:rPr>
        <w:t>5</w:t>
      </w:r>
      <w:r w:rsidRPr="00ED5AD0">
        <w:rPr>
          <w:rFonts w:cs="Arial"/>
          <w:szCs w:val="24"/>
        </w:rPr>
        <w:t xml:space="preserve"> </w:t>
      </w:r>
      <w:r w:rsidR="002B79C2" w:rsidRPr="00ED5AD0">
        <w:rPr>
          <w:rFonts w:cs="Arial"/>
          <w:szCs w:val="24"/>
        </w:rPr>
        <w:t xml:space="preserve">the only post at this pay level is that </w:t>
      </w:r>
      <w:r w:rsidRPr="00ED5AD0">
        <w:rPr>
          <w:rFonts w:cs="Arial"/>
          <w:szCs w:val="24"/>
        </w:rPr>
        <w:t>of Chief Executive</w:t>
      </w:r>
      <w:r w:rsidR="002B79C2" w:rsidRPr="00ED5AD0">
        <w:rPr>
          <w:rFonts w:cs="Arial"/>
          <w:szCs w:val="24"/>
        </w:rPr>
        <w:t xml:space="preserve">.  This post is </w:t>
      </w:r>
      <w:r w:rsidRPr="00ED5AD0">
        <w:rPr>
          <w:rFonts w:cs="Arial"/>
          <w:szCs w:val="24"/>
        </w:rPr>
        <w:t xml:space="preserve">defined as “senior” for the purpose of this guidance and consequently decisions relating to appointment and dismissal will be determined by full Council </w:t>
      </w:r>
      <w:r w:rsidRPr="00ED5AD0">
        <w:rPr>
          <w:rFonts w:cs="Arial"/>
          <w:szCs w:val="24"/>
        </w:rPr>
        <w:lastRenderedPageBreak/>
        <w:t>following recommendation made by the Appointments and Conditions of Service Committee.  This arrangem</w:t>
      </w:r>
      <w:r w:rsidR="000E48ED" w:rsidRPr="00ED5AD0">
        <w:rPr>
          <w:rFonts w:cs="Arial"/>
          <w:szCs w:val="24"/>
        </w:rPr>
        <w:t>ent is incorporated within the C</w:t>
      </w:r>
      <w:r w:rsidRPr="00ED5AD0">
        <w:rPr>
          <w:rFonts w:cs="Arial"/>
          <w:szCs w:val="24"/>
        </w:rPr>
        <w:t xml:space="preserve">ouncil’s </w:t>
      </w:r>
      <w:r w:rsidR="0092436B" w:rsidRPr="00ED5AD0">
        <w:rPr>
          <w:rFonts w:cs="Arial"/>
          <w:szCs w:val="24"/>
        </w:rPr>
        <w:t>C</w:t>
      </w:r>
      <w:r w:rsidRPr="00ED5AD0">
        <w:rPr>
          <w:rFonts w:cs="Arial"/>
          <w:szCs w:val="24"/>
        </w:rPr>
        <w:t>onstitution.</w:t>
      </w:r>
    </w:p>
    <w:p w14:paraId="12018902" w14:textId="77777777" w:rsidR="00FA08EE" w:rsidRPr="00ED5AD0" w:rsidRDefault="00FA08EE" w:rsidP="00540ECE">
      <w:pPr>
        <w:ind w:left="1276" w:hanging="850"/>
        <w:rPr>
          <w:rFonts w:cs="Arial"/>
          <w:szCs w:val="24"/>
        </w:rPr>
      </w:pPr>
    </w:p>
    <w:p w14:paraId="5FF1D7A2" w14:textId="77777777" w:rsidR="00FA08EE" w:rsidRPr="00ED5AD0" w:rsidRDefault="00FA08EE" w:rsidP="00540ECE">
      <w:pPr>
        <w:ind w:left="1276" w:hanging="850"/>
        <w:rPr>
          <w:rFonts w:cs="Arial"/>
          <w:szCs w:val="24"/>
        </w:rPr>
      </w:pPr>
    </w:p>
    <w:p w14:paraId="5BEA4DBF" w14:textId="2197244D" w:rsidR="002B79C2" w:rsidRPr="00ED5AD0" w:rsidRDefault="002B79C2" w:rsidP="00D32888">
      <w:pPr>
        <w:numPr>
          <w:ilvl w:val="2"/>
          <w:numId w:val="15"/>
        </w:numPr>
        <w:ind w:left="1276" w:hanging="850"/>
        <w:rPr>
          <w:rFonts w:cs="Arial"/>
          <w:szCs w:val="24"/>
        </w:rPr>
      </w:pPr>
      <w:r w:rsidRPr="00ED5AD0">
        <w:rPr>
          <w:rFonts w:cs="Arial"/>
          <w:szCs w:val="24"/>
        </w:rPr>
        <w:t xml:space="preserve">Already published elsewhere in this Pay Policy Statement are the </w:t>
      </w:r>
      <w:r w:rsidR="000E48ED" w:rsidRPr="00ED5AD0">
        <w:rPr>
          <w:rFonts w:cs="Arial"/>
          <w:szCs w:val="24"/>
        </w:rPr>
        <w:t>Council</w:t>
      </w:r>
      <w:r w:rsidR="00FF7AF8" w:rsidRPr="00ED5AD0">
        <w:rPr>
          <w:rFonts w:cs="Arial"/>
          <w:szCs w:val="24"/>
        </w:rPr>
        <w:t>’s key documents</w:t>
      </w:r>
      <w:r w:rsidRPr="00ED5AD0">
        <w:rPr>
          <w:rFonts w:cs="Arial"/>
          <w:szCs w:val="24"/>
        </w:rPr>
        <w:t xml:space="preserve"> relating to severance policies and discretionary compensation for employees, including senior officers in the event of redundancy. </w:t>
      </w:r>
      <w:r w:rsidR="00DA2375" w:rsidRPr="00ED5AD0">
        <w:rPr>
          <w:rFonts w:cs="Arial"/>
          <w:szCs w:val="24"/>
        </w:rPr>
        <w:t xml:space="preserve">Specifically, the Council does also have a </w:t>
      </w:r>
      <w:r w:rsidR="00D32888" w:rsidRPr="00ED5AD0">
        <w:rPr>
          <w:rFonts w:cs="Arial"/>
          <w:szCs w:val="24"/>
        </w:rPr>
        <w:t xml:space="preserve">Special </w:t>
      </w:r>
      <w:r w:rsidR="00DA2375" w:rsidRPr="00ED5AD0">
        <w:rPr>
          <w:rFonts w:cs="Arial"/>
          <w:szCs w:val="24"/>
        </w:rPr>
        <w:t>Severance Pay Policy that determines how such payments will be made, the authority needed to make the payments</w:t>
      </w:r>
      <w:r w:rsidR="00D32888" w:rsidRPr="00ED5AD0">
        <w:rPr>
          <w:rFonts w:cs="Arial"/>
          <w:szCs w:val="24"/>
        </w:rPr>
        <w:t>,</w:t>
      </w:r>
      <w:r w:rsidR="00DA2375" w:rsidRPr="00ED5AD0">
        <w:rPr>
          <w:rFonts w:cs="Arial"/>
          <w:szCs w:val="24"/>
        </w:rPr>
        <w:t xml:space="preserve"> and how these are reported. The policy is shown at </w:t>
      </w:r>
      <w:r w:rsidR="00DA2375" w:rsidRPr="00ED5AD0">
        <w:rPr>
          <w:rFonts w:cs="Arial"/>
          <w:b/>
          <w:bCs/>
          <w:szCs w:val="24"/>
        </w:rPr>
        <w:t xml:space="preserve">Appendix </w:t>
      </w:r>
      <w:r w:rsidR="00E46E49" w:rsidRPr="00ED5AD0">
        <w:rPr>
          <w:rFonts w:cs="Arial"/>
          <w:b/>
          <w:bCs/>
          <w:szCs w:val="24"/>
        </w:rPr>
        <w:t>N</w:t>
      </w:r>
      <w:r w:rsidR="00DA2375" w:rsidRPr="00ED5AD0">
        <w:rPr>
          <w:rFonts w:cs="Arial"/>
          <w:color w:val="FF0000"/>
          <w:szCs w:val="24"/>
        </w:rPr>
        <w:t xml:space="preserve">.  </w:t>
      </w:r>
    </w:p>
    <w:p w14:paraId="46B587CE" w14:textId="77777777" w:rsidR="002B79C2" w:rsidRPr="00ED5AD0" w:rsidRDefault="002B79C2" w:rsidP="00540ECE">
      <w:pPr>
        <w:ind w:left="1276" w:hanging="850"/>
        <w:rPr>
          <w:rFonts w:cs="Arial"/>
          <w:szCs w:val="24"/>
        </w:rPr>
      </w:pPr>
    </w:p>
    <w:p w14:paraId="3D27C77F" w14:textId="77777777" w:rsidR="002B79C2" w:rsidRPr="00ED5AD0" w:rsidRDefault="00FF7AF8" w:rsidP="00D32888">
      <w:pPr>
        <w:numPr>
          <w:ilvl w:val="2"/>
          <w:numId w:val="15"/>
        </w:numPr>
        <w:ind w:hanging="798"/>
        <w:rPr>
          <w:rFonts w:cs="Arial"/>
          <w:szCs w:val="24"/>
        </w:rPr>
      </w:pPr>
      <w:r w:rsidRPr="00ED5AD0">
        <w:rPr>
          <w:rFonts w:cs="Arial"/>
          <w:szCs w:val="24"/>
        </w:rPr>
        <w:t>A</w:t>
      </w:r>
      <w:r w:rsidR="002B79C2" w:rsidRPr="00ED5AD0">
        <w:rPr>
          <w:rFonts w:cs="Arial"/>
          <w:szCs w:val="24"/>
        </w:rPr>
        <w:t xml:space="preserve">ccess to the full set of local pension discretions required under Regulation 60(5) of the LGPS 2013 are shown on the </w:t>
      </w:r>
      <w:r w:rsidR="000E48ED" w:rsidRPr="00ED5AD0">
        <w:rPr>
          <w:rFonts w:cs="Arial"/>
          <w:szCs w:val="24"/>
        </w:rPr>
        <w:t>Council</w:t>
      </w:r>
      <w:r w:rsidR="002B79C2" w:rsidRPr="00ED5AD0">
        <w:rPr>
          <w:rFonts w:cs="Arial"/>
          <w:szCs w:val="24"/>
        </w:rPr>
        <w:t xml:space="preserve">’s website under the “How we work” section at </w:t>
      </w:r>
      <w:hyperlink r:id="rId14" w:history="1">
        <w:r w:rsidR="00550634" w:rsidRPr="00ED5AD0">
          <w:rPr>
            <w:rStyle w:val="Hyperlink"/>
          </w:rPr>
          <w:t>https://www.gedling.gov.uk/media/gedlingboroughcouncil/documents/council/aboutus/policies/Pension%20Discretions%20Policy%20(July%202019).pdf</w:t>
        </w:r>
      </w:hyperlink>
    </w:p>
    <w:p w14:paraId="3A1D2EED" w14:textId="77777777" w:rsidR="001451EB" w:rsidRPr="00ED5AD0" w:rsidRDefault="001451EB" w:rsidP="001451EB">
      <w:pPr>
        <w:ind w:left="1276"/>
        <w:rPr>
          <w:rFonts w:cs="Arial"/>
          <w:szCs w:val="24"/>
        </w:rPr>
      </w:pPr>
    </w:p>
    <w:p w14:paraId="0C9E0122" w14:textId="77777777" w:rsidR="002B79C2" w:rsidRPr="00ED5AD0" w:rsidRDefault="002B79C2" w:rsidP="001451EB">
      <w:pPr>
        <w:ind w:left="1276"/>
        <w:rPr>
          <w:rFonts w:cs="Arial"/>
          <w:szCs w:val="24"/>
        </w:rPr>
      </w:pPr>
      <w:r w:rsidRPr="00ED5AD0">
        <w:rPr>
          <w:rFonts w:cs="Arial"/>
          <w:szCs w:val="24"/>
        </w:rPr>
        <w:t xml:space="preserve">These discretions were approved as formal policy of the </w:t>
      </w:r>
      <w:r w:rsidR="000E48ED" w:rsidRPr="00ED5AD0">
        <w:rPr>
          <w:rFonts w:cs="Arial"/>
          <w:szCs w:val="24"/>
        </w:rPr>
        <w:t>Council</w:t>
      </w:r>
      <w:r w:rsidRPr="00ED5AD0">
        <w:rPr>
          <w:rFonts w:cs="Arial"/>
          <w:szCs w:val="24"/>
        </w:rPr>
        <w:t xml:space="preserve"> by the Appointments and Conditions of Service Committee in March 2015</w:t>
      </w:r>
      <w:r w:rsidR="006B44B1" w:rsidRPr="00ED5AD0">
        <w:rPr>
          <w:rFonts w:cs="Arial"/>
          <w:szCs w:val="24"/>
        </w:rPr>
        <w:t xml:space="preserve"> and updated by the committee in 2019</w:t>
      </w:r>
      <w:r w:rsidRPr="00ED5AD0">
        <w:rPr>
          <w:rFonts w:cs="Arial"/>
          <w:szCs w:val="24"/>
        </w:rPr>
        <w:t xml:space="preserve">.  In accordance with legal requirement the policy statements have been drafted to balance financial, business and employee needs and public interest as well as </w:t>
      </w:r>
      <w:proofErr w:type="gramStart"/>
      <w:r w:rsidRPr="00ED5AD0">
        <w:rPr>
          <w:rFonts w:cs="Arial"/>
          <w:szCs w:val="24"/>
        </w:rPr>
        <w:t>taking into account</w:t>
      </w:r>
      <w:proofErr w:type="gramEnd"/>
      <w:r w:rsidRPr="00ED5AD0">
        <w:rPr>
          <w:rFonts w:cs="Arial"/>
          <w:szCs w:val="24"/>
        </w:rPr>
        <w:t xml:space="preserve"> the general principle that no policy statement can unduly fetter the employer’s ability to make decisions.</w:t>
      </w:r>
    </w:p>
    <w:p w14:paraId="249E3052" w14:textId="77777777" w:rsidR="002B79C2" w:rsidRPr="00ED5AD0" w:rsidRDefault="002B79C2" w:rsidP="00540ECE">
      <w:pPr>
        <w:ind w:left="1276" w:hanging="850"/>
        <w:rPr>
          <w:rFonts w:cs="Arial"/>
          <w:szCs w:val="24"/>
        </w:rPr>
      </w:pPr>
    </w:p>
    <w:p w14:paraId="63B091C1" w14:textId="77777777" w:rsidR="00996F0B" w:rsidRPr="00ED5AD0" w:rsidRDefault="00996F0B" w:rsidP="00D32888">
      <w:pPr>
        <w:numPr>
          <w:ilvl w:val="2"/>
          <w:numId w:val="15"/>
        </w:numPr>
        <w:ind w:left="1276" w:hanging="850"/>
        <w:rPr>
          <w:rFonts w:cs="Arial"/>
          <w:szCs w:val="24"/>
        </w:rPr>
      </w:pPr>
      <w:r w:rsidRPr="00ED5AD0">
        <w:rPr>
          <w:bCs/>
        </w:rPr>
        <w:t xml:space="preserve">From 1 April 2017 all overtime (voluntary), stand-by and call out payments </w:t>
      </w:r>
      <w:r w:rsidR="00AD5512" w:rsidRPr="00ED5AD0">
        <w:rPr>
          <w:bCs/>
        </w:rPr>
        <w:t xml:space="preserve">are </w:t>
      </w:r>
      <w:r w:rsidRPr="00ED5AD0">
        <w:rPr>
          <w:bCs/>
        </w:rPr>
        <w:t xml:space="preserve">enhanced by 7.69% to reflect the need to recognise an average of these payments for a </w:t>
      </w:r>
      <w:proofErr w:type="gramStart"/>
      <w:r w:rsidRPr="00ED5AD0">
        <w:rPr>
          <w:bCs/>
        </w:rPr>
        <w:t>four week</w:t>
      </w:r>
      <w:proofErr w:type="gramEnd"/>
      <w:r w:rsidRPr="00ED5AD0">
        <w:rPr>
          <w:bCs/>
        </w:rPr>
        <w:t xml:space="preserve"> holiday period each year</w:t>
      </w:r>
      <w:r w:rsidR="00AD5512" w:rsidRPr="00ED5AD0">
        <w:rPr>
          <w:bCs/>
        </w:rPr>
        <w:t xml:space="preserve"> (the period for which “normal pay” needs to be maintained)</w:t>
      </w:r>
      <w:r w:rsidRPr="00ED5AD0">
        <w:rPr>
          <w:bCs/>
        </w:rPr>
        <w:t>. Any contractual overtime will be recognised as normal pay for the purpose of all holidays taken.</w:t>
      </w:r>
    </w:p>
    <w:p w14:paraId="07D47C66" w14:textId="77777777" w:rsidR="00DD68CD" w:rsidRPr="00ED5AD0" w:rsidRDefault="00DD68CD" w:rsidP="00540ECE">
      <w:pPr>
        <w:ind w:left="1276" w:hanging="850"/>
        <w:rPr>
          <w:rFonts w:cs="Arial"/>
          <w:szCs w:val="24"/>
        </w:rPr>
      </w:pPr>
    </w:p>
    <w:p w14:paraId="7DB4FC04" w14:textId="77777777" w:rsidR="0030539D" w:rsidRPr="00ED5AD0" w:rsidRDefault="00C2022D" w:rsidP="00D32888">
      <w:pPr>
        <w:numPr>
          <w:ilvl w:val="2"/>
          <w:numId w:val="15"/>
        </w:numPr>
        <w:ind w:left="1276" w:hanging="850"/>
        <w:rPr>
          <w:rFonts w:cs="Arial"/>
          <w:szCs w:val="24"/>
        </w:rPr>
      </w:pPr>
      <w:r w:rsidRPr="00ED5AD0">
        <w:rPr>
          <w:rFonts w:cs="Arial"/>
          <w:szCs w:val="24"/>
        </w:rPr>
        <w:t>As required by the Transparency Code, s</w:t>
      </w:r>
      <w:r w:rsidR="0030539D" w:rsidRPr="00ED5AD0">
        <w:rPr>
          <w:rFonts w:cs="Arial"/>
          <w:szCs w:val="24"/>
        </w:rPr>
        <w:t>tructure diagrams of the Council showing all posts, including vacant posts, and pay bands are maintained on the Council’s website</w:t>
      </w:r>
      <w:r w:rsidRPr="00ED5AD0">
        <w:rPr>
          <w:rFonts w:cs="Arial"/>
          <w:szCs w:val="24"/>
        </w:rPr>
        <w:t xml:space="preserve"> together with contact details for Chief Officers. </w:t>
      </w:r>
    </w:p>
    <w:p w14:paraId="233510AD" w14:textId="77777777" w:rsidR="00C2022D" w:rsidRPr="00ED5AD0" w:rsidRDefault="00C2022D" w:rsidP="00540ECE">
      <w:pPr>
        <w:ind w:left="1276" w:hanging="850"/>
        <w:rPr>
          <w:rFonts w:cs="Arial"/>
          <w:szCs w:val="24"/>
        </w:rPr>
      </w:pPr>
    </w:p>
    <w:p w14:paraId="45CD93FD" w14:textId="77777777" w:rsidR="00C2022D" w:rsidRPr="00ED5AD0" w:rsidRDefault="00C2022D" w:rsidP="00D32888">
      <w:pPr>
        <w:numPr>
          <w:ilvl w:val="2"/>
          <w:numId w:val="15"/>
        </w:numPr>
        <w:spacing w:after="120"/>
        <w:ind w:left="1276" w:hanging="850"/>
        <w:rPr>
          <w:rFonts w:cs="Arial"/>
          <w:color w:val="000000"/>
          <w:szCs w:val="24"/>
        </w:rPr>
      </w:pPr>
      <w:r w:rsidRPr="00ED5AD0">
        <w:rPr>
          <w:rFonts w:cs="Arial"/>
          <w:szCs w:val="24"/>
        </w:rPr>
        <w:t>The 201</w:t>
      </w:r>
      <w:r w:rsidR="0071249D" w:rsidRPr="00ED5AD0">
        <w:rPr>
          <w:rFonts w:cs="Arial"/>
          <w:szCs w:val="24"/>
        </w:rPr>
        <w:t>5</w:t>
      </w:r>
      <w:r w:rsidRPr="00ED5AD0">
        <w:rPr>
          <w:rFonts w:cs="Arial"/>
          <w:szCs w:val="24"/>
        </w:rPr>
        <w:t xml:space="preserve"> Transparency Code require</w:t>
      </w:r>
      <w:r w:rsidR="00610567" w:rsidRPr="00ED5AD0">
        <w:rPr>
          <w:rFonts w:cs="Arial"/>
          <w:szCs w:val="24"/>
        </w:rPr>
        <w:t>d</w:t>
      </w:r>
      <w:r w:rsidRPr="00ED5AD0">
        <w:rPr>
          <w:rFonts w:cs="Arial"/>
          <w:szCs w:val="24"/>
        </w:rPr>
        <w:t xml:space="preserve"> information about trade union facility time to be published</w:t>
      </w:r>
      <w:r w:rsidR="00610567" w:rsidRPr="00ED5AD0">
        <w:rPr>
          <w:rFonts w:cs="Arial"/>
          <w:szCs w:val="24"/>
        </w:rPr>
        <w:t xml:space="preserve"> and this requirement</w:t>
      </w:r>
      <w:r w:rsidR="0089048B" w:rsidRPr="00ED5AD0">
        <w:rPr>
          <w:rFonts w:cs="Arial"/>
          <w:color w:val="000000"/>
          <w:szCs w:val="24"/>
          <w:lang w:val="en" w:eastAsia="en-GB"/>
        </w:rPr>
        <w:t xml:space="preserve"> has subsequently be</w:t>
      </w:r>
      <w:r w:rsidR="00725DB9" w:rsidRPr="00ED5AD0">
        <w:rPr>
          <w:rFonts w:cs="Arial"/>
          <w:color w:val="000000"/>
          <w:szCs w:val="24"/>
          <w:lang w:val="en" w:eastAsia="en-GB"/>
        </w:rPr>
        <w:t>e</w:t>
      </w:r>
      <w:r w:rsidR="0089048B" w:rsidRPr="00ED5AD0">
        <w:rPr>
          <w:rFonts w:cs="Arial"/>
          <w:color w:val="000000"/>
          <w:szCs w:val="24"/>
          <w:lang w:val="en" w:eastAsia="en-GB"/>
        </w:rPr>
        <w:t>n extended by the Trade Union (Facility Time Publication Requirements) Regulations 2017</w:t>
      </w:r>
      <w:r w:rsidRPr="00ED5AD0">
        <w:rPr>
          <w:rFonts w:cs="Arial"/>
          <w:szCs w:val="24"/>
        </w:rPr>
        <w:t xml:space="preserve">.  This is the amount of time that is allowed by the organisation for the representatives of the recognised trade unions to participate in approved union </w:t>
      </w:r>
      <w:r w:rsidRPr="00ED5AD0">
        <w:rPr>
          <w:rFonts w:cs="Arial"/>
          <w:color w:val="000000"/>
          <w:szCs w:val="24"/>
        </w:rPr>
        <w:t xml:space="preserve">activities.  For this </w:t>
      </w:r>
      <w:r w:rsidR="000E48ED" w:rsidRPr="00ED5AD0">
        <w:rPr>
          <w:rFonts w:cs="Arial"/>
          <w:color w:val="000000"/>
          <w:szCs w:val="24"/>
        </w:rPr>
        <w:t>Council</w:t>
      </w:r>
      <w:r w:rsidRPr="00ED5AD0">
        <w:rPr>
          <w:rFonts w:cs="Arial"/>
          <w:color w:val="000000"/>
          <w:szCs w:val="24"/>
        </w:rPr>
        <w:t xml:space="preserve"> </w:t>
      </w:r>
      <w:bookmarkStart w:id="4" w:name="_Hlk182214432"/>
      <w:r w:rsidRPr="00ED5AD0">
        <w:rPr>
          <w:rFonts w:cs="Arial"/>
          <w:color w:val="000000"/>
          <w:szCs w:val="24"/>
        </w:rPr>
        <w:t xml:space="preserve">the </w:t>
      </w:r>
      <w:r w:rsidR="00A26CBD" w:rsidRPr="00ED5AD0">
        <w:rPr>
          <w:rFonts w:cs="Arial"/>
          <w:color w:val="000000"/>
          <w:szCs w:val="24"/>
        </w:rPr>
        <w:t>information is as fol</w:t>
      </w:r>
      <w:r w:rsidR="005953E9" w:rsidRPr="00ED5AD0">
        <w:rPr>
          <w:rFonts w:cs="Arial"/>
          <w:color w:val="000000"/>
          <w:szCs w:val="24"/>
        </w:rPr>
        <w:t>l</w:t>
      </w:r>
      <w:r w:rsidR="00A26CBD" w:rsidRPr="00ED5AD0">
        <w:rPr>
          <w:rFonts w:cs="Arial"/>
          <w:color w:val="000000"/>
          <w:szCs w:val="24"/>
        </w:rPr>
        <w:t>ows:</w:t>
      </w:r>
    </w:p>
    <w:p w14:paraId="7AB33443" w14:textId="37DC5371" w:rsidR="00A26CBD" w:rsidRPr="00ED5AD0" w:rsidRDefault="00A26CBD" w:rsidP="00D32888">
      <w:pPr>
        <w:numPr>
          <w:ilvl w:val="3"/>
          <w:numId w:val="15"/>
        </w:numPr>
        <w:ind w:left="1843" w:hanging="992"/>
        <w:rPr>
          <w:rFonts w:cs="Arial"/>
          <w:color w:val="000000"/>
          <w:szCs w:val="24"/>
        </w:rPr>
      </w:pPr>
      <w:r w:rsidRPr="00ED5AD0">
        <w:rPr>
          <w:rFonts w:cs="Arial"/>
          <w:color w:val="000000"/>
          <w:szCs w:val="24"/>
        </w:rPr>
        <w:t xml:space="preserve">There are </w:t>
      </w:r>
      <w:r w:rsidR="005C6B51" w:rsidRPr="00ED5AD0">
        <w:rPr>
          <w:rFonts w:cs="Arial"/>
          <w:color w:val="000000"/>
          <w:szCs w:val="24"/>
        </w:rPr>
        <w:t>10</w:t>
      </w:r>
      <w:r w:rsidR="006B44B1" w:rsidRPr="00ED5AD0">
        <w:rPr>
          <w:rFonts w:cs="Arial"/>
          <w:color w:val="000000"/>
          <w:szCs w:val="24"/>
        </w:rPr>
        <w:t xml:space="preserve"> </w:t>
      </w:r>
      <w:r w:rsidRPr="00ED5AD0">
        <w:rPr>
          <w:rFonts w:cs="Arial"/>
          <w:color w:val="000000"/>
          <w:szCs w:val="24"/>
        </w:rPr>
        <w:t xml:space="preserve">staff </w:t>
      </w:r>
      <w:r w:rsidR="00671CD6" w:rsidRPr="00ED5AD0">
        <w:rPr>
          <w:rFonts w:cs="Arial"/>
          <w:color w:val="000000"/>
          <w:szCs w:val="24"/>
        </w:rPr>
        <w:t>that</w:t>
      </w:r>
      <w:r w:rsidRPr="00ED5AD0">
        <w:rPr>
          <w:rFonts w:cs="Arial"/>
          <w:color w:val="000000"/>
          <w:szCs w:val="24"/>
        </w:rPr>
        <w:t xml:space="preserve"> are recognised as representatives (the Executive).  This equates to </w:t>
      </w:r>
      <w:r w:rsidR="005C6B51" w:rsidRPr="00ED5AD0">
        <w:rPr>
          <w:rFonts w:cs="Arial"/>
          <w:color w:val="000000"/>
          <w:szCs w:val="24"/>
        </w:rPr>
        <w:t>9</w:t>
      </w:r>
      <w:r w:rsidR="00A93AB5" w:rsidRPr="00ED5AD0">
        <w:rPr>
          <w:rFonts w:cs="Arial"/>
          <w:color w:val="000000"/>
          <w:szCs w:val="24"/>
        </w:rPr>
        <w:t>.22</w:t>
      </w:r>
      <w:r w:rsidRPr="00ED5AD0">
        <w:rPr>
          <w:rFonts w:cs="Arial"/>
          <w:color w:val="000000"/>
          <w:szCs w:val="24"/>
        </w:rPr>
        <w:t xml:space="preserve"> full time equivalents (FTEs). </w:t>
      </w:r>
    </w:p>
    <w:p w14:paraId="47E8E8FF" w14:textId="77777777" w:rsidR="00A26CBD" w:rsidRPr="00ED5AD0" w:rsidRDefault="00A26CBD" w:rsidP="00D32888">
      <w:pPr>
        <w:numPr>
          <w:ilvl w:val="3"/>
          <w:numId w:val="15"/>
        </w:numPr>
        <w:ind w:left="1843" w:hanging="992"/>
        <w:rPr>
          <w:rFonts w:cs="Arial"/>
          <w:color w:val="000000"/>
          <w:szCs w:val="24"/>
        </w:rPr>
      </w:pPr>
      <w:r w:rsidRPr="00ED5AD0">
        <w:rPr>
          <w:rFonts w:cs="Arial"/>
          <w:color w:val="000000"/>
          <w:szCs w:val="24"/>
        </w:rPr>
        <w:t xml:space="preserve">There are no union representatives who devote at least 50% of their time to union duties. </w:t>
      </w:r>
      <w:r w:rsidR="000667C4" w:rsidRPr="00ED5AD0">
        <w:rPr>
          <w:rFonts w:cs="Arial"/>
          <w:color w:val="000000"/>
          <w:szCs w:val="24"/>
        </w:rPr>
        <w:t xml:space="preserve"> The estimated proportion of time spent on trade union facility time is:</w:t>
      </w: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tblGrid>
      <w:tr w:rsidR="00BF5A37" w:rsidRPr="00ED5AD0" w14:paraId="52DEB733" w14:textId="77777777" w:rsidTr="00762F24">
        <w:tc>
          <w:tcPr>
            <w:tcW w:w="3794" w:type="dxa"/>
            <w:shd w:val="clear" w:color="auto" w:fill="auto"/>
          </w:tcPr>
          <w:p w14:paraId="4D3F65D0" w14:textId="77777777" w:rsidR="000667C4" w:rsidRPr="00ED5AD0" w:rsidRDefault="000667C4" w:rsidP="000667C4">
            <w:pPr>
              <w:rPr>
                <w:rFonts w:cs="Arial"/>
                <w:color w:val="000000"/>
                <w:szCs w:val="24"/>
              </w:rPr>
            </w:pPr>
            <w:r w:rsidRPr="00ED5AD0">
              <w:rPr>
                <w:rFonts w:cs="Arial"/>
                <w:color w:val="000000"/>
                <w:szCs w:val="24"/>
              </w:rPr>
              <w:t>Proportion of time</w:t>
            </w:r>
          </w:p>
        </w:tc>
        <w:tc>
          <w:tcPr>
            <w:tcW w:w="2693" w:type="dxa"/>
            <w:shd w:val="clear" w:color="auto" w:fill="auto"/>
          </w:tcPr>
          <w:p w14:paraId="1431BAFA" w14:textId="77777777" w:rsidR="000667C4" w:rsidRPr="00ED5AD0" w:rsidRDefault="000667C4" w:rsidP="000667C4">
            <w:pPr>
              <w:rPr>
                <w:rFonts w:cs="Arial"/>
                <w:color w:val="000000"/>
                <w:szCs w:val="24"/>
              </w:rPr>
            </w:pPr>
            <w:r w:rsidRPr="00ED5AD0">
              <w:rPr>
                <w:rFonts w:cs="Arial"/>
                <w:color w:val="000000"/>
                <w:szCs w:val="24"/>
              </w:rPr>
              <w:t>Number of union Reps</w:t>
            </w:r>
          </w:p>
        </w:tc>
      </w:tr>
      <w:tr w:rsidR="00BF5A37" w:rsidRPr="00ED5AD0" w14:paraId="5A00FB4C" w14:textId="77777777" w:rsidTr="00762F24">
        <w:tc>
          <w:tcPr>
            <w:tcW w:w="3794" w:type="dxa"/>
            <w:shd w:val="clear" w:color="auto" w:fill="auto"/>
          </w:tcPr>
          <w:p w14:paraId="45270A13" w14:textId="77777777" w:rsidR="000667C4" w:rsidRPr="00ED5AD0" w:rsidRDefault="000667C4" w:rsidP="000667C4">
            <w:pPr>
              <w:rPr>
                <w:rFonts w:cs="Arial"/>
                <w:color w:val="000000"/>
                <w:szCs w:val="24"/>
              </w:rPr>
            </w:pPr>
            <w:r w:rsidRPr="00ED5AD0">
              <w:rPr>
                <w:rFonts w:cs="Arial"/>
                <w:color w:val="000000"/>
                <w:szCs w:val="24"/>
              </w:rPr>
              <w:t>0% (less than 1%)</w:t>
            </w:r>
          </w:p>
        </w:tc>
        <w:tc>
          <w:tcPr>
            <w:tcW w:w="2693" w:type="dxa"/>
            <w:shd w:val="clear" w:color="auto" w:fill="auto"/>
          </w:tcPr>
          <w:p w14:paraId="05BA5FFC" w14:textId="77777777" w:rsidR="000667C4" w:rsidRPr="00ED5AD0" w:rsidRDefault="0027577E" w:rsidP="00762F24">
            <w:pPr>
              <w:jc w:val="center"/>
              <w:rPr>
                <w:rFonts w:cs="Arial"/>
                <w:color w:val="000000"/>
                <w:szCs w:val="24"/>
              </w:rPr>
            </w:pPr>
            <w:r w:rsidRPr="00ED5AD0">
              <w:rPr>
                <w:rFonts w:cs="Arial"/>
                <w:color w:val="000000"/>
                <w:szCs w:val="24"/>
              </w:rPr>
              <w:t>0</w:t>
            </w:r>
          </w:p>
        </w:tc>
      </w:tr>
      <w:tr w:rsidR="00BF5A37" w:rsidRPr="00ED5AD0" w14:paraId="6E8A2150" w14:textId="77777777" w:rsidTr="00762F24">
        <w:tc>
          <w:tcPr>
            <w:tcW w:w="3794" w:type="dxa"/>
            <w:shd w:val="clear" w:color="auto" w:fill="auto"/>
          </w:tcPr>
          <w:p w14:paraId="72B567A6" w14:textId="77777777" w:rsidR="000667C4" w:rsidRPr="00ED5AD0" w:rsidRDefault="000667C4" w:rsidP="000667C4">
            <w:pPr>
              <w:rPr>
                <w:rFonts w:cs="Arial"/>
                <w:color w:val="000000"/>
                <w:szCs w:val="24"/>
              </w:rPr>
            </w:pPr>
            <w:r w:rsidRPr="00ED5AD0">
              <w:rPr>
                <w:rFonts w:cs="Arial"/>
                <w:color w:val="000000"/>
                <w:szCs w:val="24"/>
              </w:rPr>
              <w:t>1- 50%</w:t>
            </w:r>
          </w:p>
        </w:tc>
        <w:tc>
          <w:tcPr>
            <w:tcW w:w="2693" w:type="dxa"/>
            <w:shd w:val="clear" w:color="auto" w:fill="auto"/>
          </w:tcPr>
          <w:p w14:paraId="345651BA" w14:textId="30A0D6DB" w:rsidR="000667C4" w:rsidRPr="00ED5AD0" w:rsidRDefault="005C6B51" w:rsidP="00D76655">
            <w:pPr>
              <w:jc w:val="center"/>
              <w:rPr>
                <w:rFonts w:cs="Arial"/>
                <w:color w:val="000000"/>
                <w:szCs w:val="24"/>
              </w:rPr>
            </w:pPr>
            <w:r w:rsidRPr="00ED5AD0">
              <w:rPr>
                <w:rFonts w:cs="Arial"/>
                <w:color w:val="000000"/>
                <w:szCs w:val="24"/>
              </w:rPr>
              <w:t>10</w:t>
            </w:r>
          </w:p>
        </w:tc>
      </w:tr>
      <w:tr w:rsidR="00BF5A37" w:rsidRPr="00ED5AD0" w14:paraId="212D759B" w14:textId="77777777" w:rsidTr="00762F24">
        <w:tc>
          <w:tcPr>
            <w:tcW w:w="3794" w:type="dxa"/>
            <w:shd w:val="clear" w:color="auto" w:fill="auto"/>
          </w:tcPr>
          <w:p w14:paraId="442CE49C" w14:textId="77777777" w:rsidR="000667C4" w:rsidRPr="00ED5AD0" w:rsidRDefault="000667C4" w:rsidP="000667C4">
            <w:pPr>
              <w:rPr>
                <w:rFonts w:cs="Arial"/>
                <w:color w:val="000000"/>
                <w:szCs w:val="24"/>
              </w:rPr>
            </w:pPr>
            <w:r w:rsidRPr="00ED5AD0">
              <w:rPr>
                <w:rFonts w:cs="Arial"/>
                <w:color w:val="000000"/>
                <w:szCs w:val="24"/>
              </w:rPr>
              <w:t>51-99%</w:t>
            </w:r>
          </w:p>
        </w:tc>
        <w:tc>
          <w:tcPr>
            <w:tcW w:w="2693" w:type="dxa"/>
            <w:shd w:val="clear" w:color="auto" w:fill="auto"/>
          </w:tcPr>
          <w:p w14:paraId="094B19E7" w14:textId="77777777" w:rsidR="000667C4" w:rsidRPr="00ED5AD0" w:rsidRDefault="000667C4" w:rsidP="00762F24">
            <w:pPr>
              <w:jc w:val="center"/>
              <w:rPr>
                <w:rFonts w:cs="Arial"/>
                <w:color w:val="000000"/>
                <w:szCs w:val="24"/>
              </w:rPr>
            </w:pPr>
            <w:r w:rsidRPr="00ED5AD0">
              <w:rPr>
                <w:rFonts w:cs="Arial"/>
                <w:color w:val="000000"/>
                <w:szCs w:val="24"/>
              </w:rPr>
              <w:t>0</w:t>
            </w:r>
          </w:p>
        </w:tc>
      </w:tr>
      <w:tr w:rsidR="00BF5A37" w:rsidRPr="00ED5AD0" w14:paraId="32D1BCBC" w14:textId="77777777" w:rsidTr="00762F24">
        <w:tc>
          <w:tcPr>
            <w:tcW w:w="3794" w:type="dxa"/>
            <w:shd w:val="clear" w:color="auto" w:fill="auto"/>
          </w:tcPr>
          <w:p w14:paraId="6805881C" w14:textId="77777777" w:rsidR="000667C4" w:rsidRPr="00ED5AD0" w:rsidRDefault="000667C4" w:rsidP="000667C4">
            <w:pPr>
              <w:rPr>
                <w:rFonts w:cs="Arial"/>
                <w:color w:val="000000"/>
                <w:szCs w:val="24"/>
              </w:rPr>
            </w:pPr>
            <w:r w:rsidRPr="00ED5AD0">
              <w:rPr>
                <w:rFonts w:cs="Arial"/>
                <w:color w:val="000000"/>
                <w:szCs w:val="24"/>
              </w:rPr>
              <w:t>100%</w:t>
            </w:r>
          </w:p>
        </w:tc>
        <w:tc>
          <w:tcPr>
            <w:tcW w:w="2693" w:type="dxa"/>
            <w:shd w:val="clear" w:color="auto" w:fill="auto"/>
          </w:tcPr>
          <w:p w14:paraId="37437AFB" w14:textId="77777777" w:rsidR="000667C4" w:rsidRPr="00ED5AD0" w:rsidRDefault="000667C4" w:rsidP="00762F24">
            <w:pPr>
              <w:jc w:val="center"/>
              <w:rPr>
                <w:rFonts w:cs="Arial"/>
                <w:color w:val="000000"/>
                <w:szCs w:val="24"/>
              </w:rPr>
            </w:pPr>
            <w:r w:rsidRPr="00ED5AD0">
              <w:rPr>
                <w:rFonts w:cs="Arial"/>
                <w:color w:val="000000"/>
                <w:szCs w:val="24"/>
              </w:rPr>
              <w:t>0</w:t>
            </w:r>
          </w:p>
        </w:tc>
      </w:tr>
    </w:tbl>
    <w:p w14:paraId="33425210" w14:textId="77777777" w:rsidR="000667C4" w:rsidRPr="00ED5AD0" w:rsidRDefault="000667C4" w:rsidP="000667C4">
      <w:pPr>
        <w:ind w:left="1843"/>
        <w:rPr>
          <w:rFonts w:cs="Arial"/>
          <w:color w:val="000000"/>
          <w:szCs w:val="24"/>
        </w:rPr>
      </w:pPr>
    </w:p>
    <w:bookmarkEnd w:id="4"/>
    <w:p w14:paraId="1252FA85" w14:textId="77777777" w:rsidR="0027577E" w:rsidRPr="00ED5AD0" w:rsidRDefault="0027577E" w:rsidP="000667C4">
      <w:pPr>
        <w:ind w:left="1843"/>
        <w:rPr>
          <w:rFonts w:cs="Arial"/>
          <w:color w:val="000000"/>
          <w:szCs w:val="24"/>
        </w:rPr>
      </w:pPr>
    </w:p>
    <w:p w14:paraId="14617777" w14:textId="77777777" w:rsidR="00A93AB5" w:rsidRPr="00ED5AD0" w:rsidRDefault="00A93AB5" w:rsidP="00A93AB5">
      <w:pPr>
        <w:autoSpaceDE w:val="0"/>
        <w:autoSpaceDN w:val="0"/>
        <w:adjustRightInd w:val="0"/>
        <w:rPr>
          <w:rFonts w:cs="Arial"/>
          <w:szCs w:val="24"/>
          <w:lang w:val="en" w:eastAsia="en-GB"/>
        </w:rPr>
      </w:pPr>
    </w:p>
    <w:p w14:paraId="7A30DE14" w14:textId="77777777" w:rsidR="0027577E" w:rsidRPr="00ED5AD0" w:rsidRDefault="0027577E" w:rsidP="000667C4">
      <w:pPr>
        <w:ind w:left="1843"/>
        <w:rPr>
          <w:rFonts w:cs="Arial"/>
          <w:color w:val="000000"/>
          <w:szCs w:val="24"/>
        </w:rPr>
      </w:pPr>
    </w:p>
    <w:p w14:paraId="3FC49AE7" w14:textId="652C16ED" w:rsidR="00A26CBD" w:rsidRPr="00ED5AD0" w:rsidRDefault="00A26CBD" w:rsidP="00D32888">
      <w:pPr>
        <w:numPr>
          <w:ilvl w:val="3"/>
          <w:numId w:val="15"/>
        </w:numPr>
        <w:ind w:left="1843" w:hanging="992"/>
        <w:rPr>
          <w:rFonts w:cs="Arial"/>
          <w:color w:val="000000"/>
          <w:szCs w:val="24"/>
        </w:rPr>
      </w:pPr>
      <w:bookmarkStart w:id="5" w:name="_Hlk182214483"/>
      <w:r w:rsidRPr="00ED5AD0">
        <w:rPr>
          <w:rFonts w:cs="Arial"/>
          <w:color w:val="000000"/>
          <w:szCs w:val="24"/>
        </w:rPr>
        <w:t>It is estimated that the total salary cost of union representatives undertaking union duties</w:t>
      </w:r>
      <w:r w:rsidR="00091F35" w:rsidRPr="00ED5AD0">
        <w:rPr>
          <w:rFonts w:cs="Arial"/>
          <w:color w:val="000000"/>
          <w:szCs w:val="24"/>
        </w:rPr>
        <w:t xml:space="preserve"> and activities</w:t>
      </w:r>
      <w:r w:rsidRPr="00ED5AD0">
        <w:rPr>
          <w:rFonts w:cs="Arial"/>
          <w:color w:val="000000"/>
          <w:szCs w:val="24"/>
        </w:rPr>
        <w:t xml:space="preserve"> over a year is </w:t>
      </w:r>
      <w:r w:rsidR="00322E9F" w:rsidRPr="00ED5AD0">
        <w:rPr>
          <w:color w:val="000000"/>
        </w:rPr>
        <w:t>£</w:t>
      </w:r>
      <w:r w:rsidR="00A93AB5" w:rsidRPr="00ED5AD0">
        <w:rPr>
          <w:color w:val="000000"/>
        </w:rPr>
        <w:t>1</w:t>
      </w:r>
      <w:r w:rsidR="00F3484F" w:rsidRPr="00ED5AD0">
        <w:rPr>
          <w:color w:val="000000"/>
        </w:rPr>
        <w:t>5,232.30</w:t>
      </w:r>
      <w:r w:rsidR="00091F35" w:rsidRPr="00ED5AD0">
        <w:rPr>
          <w:color w:val="000000"/>
        </w:rPr>
        <w:t xml:space="preserve">. </w:t>
      </w:r>
      <w:r w:rsidR="00BF5A37" w:rsidRPr="00ED5AD0">
        <w:rPr>
          <w:color w:val="000000"/>
        </w:rPr>
        <w:t xml:space="preserve"> </w:t>
      </w:r>
      <w:r w:rsidR="00876FED" w:rsidRPr="00ED5AD0">
        <w:rPr>
          <w:color w:val="000000"/>
        </w:rPr>
        <w:t xml:space="preserve">The percentage of </w:t>
      </w:r>
      <w:r w:rsidR="00A75359" w:rsidRPr="00ED5AD0">
        <w:rPr>
          <w:color w:val="000000"/>
        </w:rPr>
        <w:t xml:space="preserve">all </w:t>
      </w:r>
      <w:r w:rsidR="00876FED" w:rsidRPr="00ED5AD0">
        <w:rPr>
          <w:color w:val="000000"/>
        </w:rPr>
        <w:t>pay spent on facility time is 0.</w:t>
      </w:r>
      <w:r w:rsidR="005C6B51" w:rsidRPr="00ED5AD0">
        <w:rPr>
          <w:color w:val="000000"/>
        </w:rPr>
        <w:t>1</w:t>
      </w:r>
      <w:r w:rsidR="009173E5" w:rsidRPr="00ED5AD0">
        <w:rPr>
          <w:color w:val="000000"/>
        </w:rPr>
        <w:t>2</w:t>
      </w:r>
      <w:r w:rsidR="00876FED" w:rsidRPr="00ED5AD0">
        <w:rPr>
          <w:color w:val="000000"/>
        </w:rPr>
        <w:t xml:space="preserve">% and </w:t>
      </w:r>
      <w:r w:rsidR="00F3484F" w:rsidRPr="00ED5AD0">
        <w:rPr>
          <w:color w:val="000000"/>
        </w:rPr>
        <w:t>5</w:t>
      </w:r>
      <w:r w:rsidR="005C6B51" w:rsidRPr="00ED5AD0">
        <w:rPr>
          <w:color w:val="000000"/>
        </w:rPr>
        <w:t>.</w:t>
      </w:r>
      <w:r w:rsidR="00F3484F" w:rsidRPr="00ED5AD0">
        <w:rPr>
          <w:color w:val="000000"/>
        </w:rPr>
        <w:t>92</w:t>
      </w:r>
      <w:r w:rsidR="005C6B51" w:rsidRPr="00ED5AD0">
        <w:rPr>
          <w:color w:val="000000"/>
        </w:rPr>
        <w:t>%</w:t>
      </w:r>
      <w:r w:rsidR="00876FED" w:rsidRPr="00ED5AD0">
        <w:rPr>
          <w:color w:val="000000"/>
        </w:rPr>
        <w:t xml:space="preserve"> of all union time is taken up on trade union activities. </w:t>
      </w:r>
      <w:r w:rsidR="00A75359" w:rsidRPr="00ED5AD0">
        <w:rPr>
          <w:color w:val="000000"/>
        </w:rPr>
        <w:t>This is the data reported on the government’s website.</w:t>
      </w:r>
    </w:p>
    <w:bookmarkEnd w:id="5"/>
    <w:p w14:paraId="747770A6" w14:textId="77777777" w:rsidR="00091F35" w:rsidRPr="00ED5AD0" w:rsidRDefault="00091F35" w:rsidP="00091F35">
      <w:pPr>
        <w:ind w:left="1224"/>
        <w:rPr>
          <w:rFonts w:cs="Arial"/>
          <w:color w:val="000000"/>
          <w:szCs w:val="24"/>
        </w:rPr>
      </w:pPr>
    </w:p>
    <w:p w14:paraId="25297D41" w14:textId="77777777" w:rsidR="00F57A66" w:rsidRPr="00ED5AD0" w:rsidRDefault="00F57A66" w:rsidP="00D32888">
      <w:pPr>
        <w:numPr>
          <w:ilvl w:val="1"/>
          <w:numId w:val="15"/>
        </w:numPr>
        <w:ind w:left="993" w:hanging="567"/>
        <w:rPr>
          <w:rFonts w:cs="Arial"/>
          <w:color w:val="000000"/>
          <w:szCs w:val="24"/>
        </w:rPr>
      </w:pPr>
      <w:r w:rsidRPr="00ED5AD0">
        <w:rPr>
          <w:rFonts w:cs="Arial"/>
          <w:color w:val="000000"/>
          <w:szCs w:val="24"/>
        </w:rPr>
        <w:t xml:space="preserve">This Pay Policy Statement </w:t>
      </w:r>
      <w:r w:rsidR="00572FC3" w:rsidRPr="00ED5AD0">
        <w:rPr>
          <w:rFonts w:cs="Arial"/>
          <w:color w:val="000000"/>
          <w:szCs w:val="24"/>
        </w:rPr>
        <w:t>is published on the Council’s website.</w:t>
      </w:r>
    </w:p>
    <w:p w14:paraId="43B6DE49" w14:textId="77777777" w:rsidR="00A26CA8" w:rsidRPr="00ED5AD0" w:rsidRDefault="00A26CA8" w:rsidP="00A26CA8">
      <w:pPr>
        <w:ind w:left="993"/>
        <w:rPr>
          <w:rFonts w:cs="Arial"/>
          <w:color w:val="000000"/>
          <w:szCs w:val="24"/>
        </w:rPr>
      </w:pPr>
    </w:p>
    <w:p w14:paraId="597A6EC9" w14:textId="77777777" w:rsidR="00522C4C" w:rsidRPr="00ED5AD0" w:rsidRDefault="00A12001" w:rsidP="00D32888">
      <w:pPr>
        <w:numPr>
          <w:ilvl w:val="0"/>
          <w:numId w:val="5"/>
        </w:numPr>
        <w:rPr>
          <w:rFonts w:cs="Arial"/>
          <w:b/>
          <w:color w:val="000000"/>
          <w:szCs w:val="24"/>
        </w:rPr>
      </w:pPr>
      <w:r w:rsidRPr="00ED5AD0">
        <w:rPr>
          <w:rFonts w:cs="Arial"/>
          <w:b/>
          <w:color w:val="000000"/>
          <w:szCs w:val="24"/>
        </w:rPr>
        <w:t>Other s</w:t>
      </w:r>
      <w:r w:rsidR="002D3990" w:rsidRPr="00ED5AD0">
        <w:rPr>
          <w:rFonts w:cs="Arial"/>
          <w:b/>
          <w:color w:val="000000"/>
          <w:szCs w:val="24"/>
        </w:rPr>
        <w:t xml:space="preserve">pecific </w:t>
      </w:r>
      <w:r w:rsidRPr="00ED5AD0">
        <w:rPr>
          <w:rFonts w:cs="Arial"/>
          <w:b/>
          <w:color w:val="000000"/>
          <w:szCs w:val="24"/>
        </w:rPr>
        <w:t>r</w:t>
      </w:r>
      <w:r w:rsidR="002D3990" w:rsidRPr="00ED5AD0">
        <w:rPr>
          <w:rFonts w:cs="Arial"/>
          <w:b/>
          <w:color w:val="000000"/>
          <w:szCs w:val="24"/>
        </w:rPr>
        <w:t xml:space="preserve">eportable </w:t>
      </w:r>
      <w:r w:rsidRPr="00ED5AD0">
        <w:rPr>
          <w:rFonts w:cs="Arial"/>
          <w:b/>
          <w:color w:val="000000"/>
          <w:szCs w:val="24"/>
        </w:rPr>
        <w:t>i</w:t>
      </w:r>
      <w:r w:rsidR="002D3990" w:rsidRPr="00ED5AD0">
        <w:rPr>
          <w:rFonts w:cs="Arial"/>
          <w:b/>
          <w:color w:val="000000"/>
          <w:szCs w:val="24"/>
        </w:rPr>
        <w:t xml:space="preserve">ssues as </w:t>
      </w:r>
      <w:r w:rsidRPr="00ED5AD0">
        <w:rPr>
          <w:rFonts w:cs="Arial"/>
          <w:b/>
          <w:color w:val="000000"/>
          <w:szCs w:val="24"/>
        </w:rPr>
        <w:t>d</w:t>
      </w:r>
      <w:r w:rsidR="002D3990" w:rsidRPr="00ED5AD0">
        <w:rPr>
          <w:rFonts w:cs="Arial"/>
          <w:b/>
          <w:color w:val="000000"/>
          <w:szCs w:val="24"/>
        </w:rPr>
        <w:t xml:space="preserve">efined in the Localism Act </w:t>
      </w:r>
    </w:p>
    <w:p w14:paraId="48F8EDCF" w14:textId="77777777" w:rsidR="002D3990" w:rsidRPr="00ED5AD0" w:rsidRDefault="002D3990" w:rsidP="0087507E">
      <w:pPr>
        <w:ind w:left="360"/>
        <w:rPr>
          <w:rFonts w:cs="Arial"/>
          <w:b/>
          <w:szCs w:val="24"/>
        </w:rPr>
      </w:pPr>
    </w:p>
    <w:p w14:paraId="10C80168" w14:textId="77777777" w:rsidR="002D3990" w:rsidRPr="00ED5AD0" w:rsidRDefault="00222CE1" w:rsidP="00D32888">
      <w:pPr>
        <w:numPr>
          <w:ilvl w:val="1"/>
          <w:numId w:val="16"/>
        </w:numPr>
        <w:ind w:left="993" w:hanging="654"/>
        <w:rPr>
          <w:rFonts w:cs="Arial"/>
          <w:b/>
          <w:szCs w:val="24"/>
        </w:rPr>
      </w:pPr>
      <w:r w:rsidRPr="00ED5AD0">
        <w:rPr>
          <w:rFonts w:cs="Arial"/>
          <w:b/>
          <w:szCs w:val="24"/>
        </w:rPr>
        <w:t>Chief Officer</w:t>
      </w:r>
      <w:r w:rsidR="00F249C2" w:rsidRPr="00ED5AD0">
        <w:rPr>
          <w:rFonts w:cs="Arial"/>
          <w:b/>
          <w:szCs w:val="24"/>
        </w:rPr>
        <w:t xml:space="preserve"> </w:t>
      </w:r>
      <w:r w:rsidR="00A12001" w:rsidRPr="00ED5AD0">
        <w:rPr>
          <w:rFonts w:cs="Arial"/>
          <w:b/>
          <w:szCs w:val="24"/>
        </w:rPr>
        <w:t>p</w:t>
      </w:r>
      <w:r w:rsidR="00F249C2" w:rsidRPr="00ED5AD0">
        <w:rPr>
          <w:rFonts w:cs="Arial"/>
          <w:b/>
          <w:szCs w:val="24"/>
        </w:rPr>
        <w:t>ay</w:t>
      </w:r>
    </w:p>
    <w:p w14:paraId="63EAB923" w14:textId="77777777" w:rsidR="003F2B15" w:rsidRPr="00ED5AD0" w:rsidRDefault="003F2B15" w:rsidP="0087507E">
      <w:pPr>
        <w:ind w:left="792"/>
        <w:rPr>
          <w:rFonts w:cs="Arial"/>
          <w:b/>
          <w:szCs w:val="24"/>
        </w:rPr>
      </w:pPr>
    </w:p>
    <w:p w14:paraId="3ECD630F" w14:textId="77777777" w:rsidR="00952D26" w:rsidRPr="00ED5AD0" w:rsidRDefault="00503085" w:rsidP="00D32888">
      <w:pPr>
        <w:numPr>
          <w:ilvl w:val="2"/>
          <w:numId w:val="16"/>
        </w:numPr>
        <w:ind w:left="1418"/>
        <w:rPr>
          <w:rFonts w:cs="Arial"/>
          <w:b/>
          <w:szCs w:val="24"/>
        </w:rPr>
      </w:pPr>
      <w:r w:rsidRPr="00ED5AD0">
        <w:rPr>
          <w:rFonts w:cs="Arial"/>
          <w:b/>
          <w:szCs w:val="24"/>
        </w:rPr>
        <w:t>Basic pay</w:t>
      </w:r>
    </w:p>
    <w:p w14:paraId="685E0D24" w14:textId="5BB4C27D" w:rsidR="00F249C2" w:rsidRPr="00ED5AD0" w:rsidRDefault="00952D26" w:rsidP="0087507E">
      <w:pPr>
        <w:ind w:left="709"/>
        <w:rPr>
          <w:rFonts w:cs="Arial"/>
          <w:szCs w:val="24"/>
        </w:rPr>
      </w:pPr>
      <w:r w:rsidRPr="00ED5AD0">
        <w:rPr>
          <w:rFonts w:cs="Arial"/>
          <w:szCs w:val="24"/>
        </w:rPr>
        <w:t xml:space="preserve">Pay scales </w:t>
      </w:r>
      <w:r w:rsidR="003F2B15" w:rsidRPr="00ED5AD0">
        <w:rPr>
          <w:rFonts w:cs="Arial"/>
          <w:szCs w:val="24"/>
        </w:rPr>
        <w:t xml:space="preserve">for </w:t>
      </w:r>
      <w:r w:rsidR="00A93AB5" w:rsidRPr="00ED5AD0">
        <w:rPr>
          <w:rFonts w:cs="Arial"/>
          <w:szCs w:val="24"/>
        </w:rPr>
        <w:t xml:space="preserve">all </w:t>
      </w:r>
      <w:r w:rsidR="00222CE1" w:rsidRPr="00ED5AD0">
        <w:rPr>
          <w:rFonts w:cs="Arial"/>
          <w:szCs w:val="24"/>
        </w:rPr>
        <w:t>Chief Officer</w:t>
      </w:r>
      <w:r w:rsidR="003F2B15" w:rsidRPr="00ED5AD0">
        <w:rPr>
          <w:rFonts w:cs="Arial"/>
          <w:szCs w:val="24"/>
        </w:rPr>
        <w:t xml:space="preserve">s </w:t>
      </w:r>
      <w:r w:rsidRPr="00ED5AD0">
        <w:rPr>
          <w:rFonts w:cs="Arial"/>
          <w:szCs w:val="24"/>
        </w:rPr>
        <w:t xml:space="preserve">are shown in the </w:t>
      </w:r>
      <w:r w:rsidR="004E4B98" w:rsidRPr="00ED5AD0">
        <w:rPr>
          <w:rFonts w:cs="Arial"/>
          <w:szCs w:val="24"/>
        </w:rPr>
        <w:t xml:space="preserve">Executive Summary </w:t>
      </w:r>
      <w:r w:rsidRPr="00ED5AD0">
        <w:rPr>
          <w:rFonts w:cs="Arial"/>
          <w:szCs w:val="24"/>
        </w:rPr>
        <w:t xml:space="preserve">table.  These are current </w:t>
      </w:r>
      <w:r w:rsidR="006B6D20" w:rsidRPr="00ED5AD0">
        <w:rPr>
          <w:rFonts w:cs="Arial"/>
          <w:szCs w:val="24"/>
        </w:rPr>
        <w:t>up to</w:t>
      </w:r>
      <w:r w:rsidRPr="00ED5AD0">
        <w:rPr>
          <w:rFonts w:cs="Arial"/>
          <w:szCs w:val="24"/>
        </w:rPr>
        <w:t xml:space="preserve"> </w:t>
      </w:r>
      <w:r w:rsidR="00260933" w:rsidRPr="00ED5AD0">
        <w:rPr>
          <w:rFonts w:cs="Arial"/>
          <w:szCs w:val="24"/>
        </w:rPr>
        <w:t xml:space="preserve">30 November </w:t>
      </w:r>
      <w:r w:rsidRPr="00ED5AD0">
        <w:rPr>
          <w:rFonts w:cs="Arial"/>
          <w:szCs w:val="24"/>
        </w:rPr>
        <w:t>20</w:t>
      </w:r>
      <w:r w:rsidR="0060335F" w:rsidRPr="00ED5AD0">
        <w:rPr>
          <w:rFonts w:cs="Arial"/>
          <w:szCs w:val="24"/>
        </w:rPr>
        <w:t>2</w:t>
      </w:r>
      <w:r w:rsidR="005674DD" w:rsidRPr="00ED5AD0">
        <w:rPr>
          <w:rFonts w:cs="Arial"/>
          <w:szCs w:val="24"/>
        </w:rPr>
        <w:t>4</w:t>
      </w:r>
      <w:r w:rsidRPr="00ED5AD0">
        <w:rPr>
          <w:rFonts w:cs="Arial"/>
          <w:szCs w:val="24"/>
        </w:rPr>
        <w:t>.</w:t>
      </w:r>
    </w:p>
    <w:p w14:paraId="7B2AFDFC" w14:textId="77777777" w:rsidR="00952D26" w:rsidRPr="00ED5AD0" w:rsidRDefault="00952D26" w:rsidP="0087507E">
      <w:pPr>
        <w:ind w:left="1418"/>
        <w:rPr>
          <w:rFonts w:cs="Arial"/>
          <w:szCs w:val="24"/>
        </w:rPr>
      </w:pPr>
      <w:r w:rsidRPr="00ED5AD0">
        <w:rPr>
          <w:rFonts w:cs="Arial"/>
          <w:szCs w:val="24"/>
        </w:rPr>
        <w:t xml:space="preserve"> </w:t>
      </w:r>
    </w:p>
    <w:p w14:paraId="3B5E9991" w14:textId="77777777" w:rsidR="00952D26" w:rsidRPr="00ED5AD0" w:rsidRDefault="00952D26" w:rsidP="00D32888">
      <w:pPr>
        <w:numPr>
          <w:ilvl w:val="2"/>
          <w:numId w:val="16"/>
        </w:numPr>
        <w:ind w:left="1418" w:hanging="709"/>
        <w:rPr>
          <w:rFonts w:cs="Arial"/>
          <w:b/>
          <w:szCs w:val="24"/>
        </w:rPr>
      </w:pPr>
      <w:r w:rsidRPr="00ED5AD0">
        <w:rPr>
          <w:rFonts w:cs="Arial"/>
          <w:b/>
          <w:szCs w:val="24"/>
        </w:rPr>
        <w:t xml:space="preserve">The setting of </w:t>
      </w:r>
      <w:r w:rsidR="004D6173" w:rsidRPr="00ED5AD0">
        <w:rPr>
          <w:rFonts w:cs="Arial"/>
          <w:b/>
          <w:szCs w:val="24"/>
        </w:rPr>
        <w:t xml:space="preserve">basic pay </w:t>
      </w:r>
      <w:r w:rsidR="00503085" w:rsidRPr="00ED5AD0">
        <w:rPr>
          <w:rFonts w:cs="Arial"/>
          <w:b/>
          <w:szCs w:val="24"/>
        </w:rPr>
        <w:t>grades and pay rates</w:t>
      </w:r>
    </w:p>
    <w:p w14:paraId="3736349B" w14:textId="77777777" w:rsidR="00952D26" w:rsidRPr="00ED5AD0" w:rsidRDefault="00952D26" w:rsidP="0087507E">
      <w:pPr>
        <w:ind w:left="709"/>
        <w:rPr>
          <w:rFonts w:cs="Arial"/>
          <w:szCs w:val="24"/>
        </w:rPr>
      </w:pPr>
      <w:r w:rsidRPr="00ED5AD0">
        <w:rPr>
          <w:rFonts w:cs="Arial"/>
          <w:szCs w:val="24"/>
        </w:rPr>
        <w:t xml:space="preserve">There are </w:t>
      </w:r>
      <w:proofErr w:type="gramStart"/>
      <w:r w:rsidRPr="00ED5AD0">
        <w:rPr>
          <w:rFonts w:cs="Arial"/>
          <w:szCs w:val="24"/>
        </w:rPr>
        <w:t>a number of</w:t>
      </w:r>
      <w:proofErr w:type="gramEnd"/>
      <w:r w:rsidRPr="00ED5AD0">
        <w:rPr>
          <w:rFonts w:cs="Arial"/>
          <w:szCs w:val="24"/>
        </w:rPr>
        <w:t xml:space="preserve"> existing decisions and policies that determine </w:t>
      </w:r>
      <w:r w:rsidR="00222CE1" w:rsidRPr="00ED5AD0">
        <w:rPr>
          <w:rFonts w:cs="Arial"/>
          <w:szCs w:val="24"/>
        </w:rPr>
        <w:t>Chief Officer</w:t>
      </w:r>
      <w:r w:rsidR="003F2B15" w:rsidRPr="00ED5AD0">
        <w:rPr>
          <w:rFonts w:cs="Arial"/>
          <w:szCs w:val="24"/>
        </w:rPr>
        <w:t>s’</w:t>
      </w:r>
      <w:r w:rsidRPr="00ED5AD0">
        <w:rPr>
          <w:rFonts w:cs="Arial"/>
          <w:szCs w:val="24"/>
        </w:rPr>
        <w:t xml:space="preserve"> </w:t>
      </w:r>
      <w:r w:rsidR="003F2B15" w:rsidRPr="00ED5AD0">
        <w:rPr>
          <w:rFonts w:cs="Arial"/>
          <w:szCs w:val="24"/>
        </w:rPr>
        <w:t xml:space="preserve">overall </w:t>
      </w:r>
      <w:r w:rsidRPr="00ED5AD0">
        <w:rPr>
          <w:rFonts w:cs="Arial"/>
          <w:szCs w:val="24"/>
        </w:rPr>
        <w:t>pay</w:t>
      </w:r>
      <w:r w:rsidR="003F2B15" w:rsidRPr="00ED5AD0">
        <w:rPr>
          <w:rFonts w:cs="Arial"/>
          <w:szCs w:val="24"/>
        </w:rPr>
        <w:t xml:space="preserve"> policy</w:t>
      </w:r>
      <w:r w:rsidRPr="00ED5AD0">
        <w:rPr>
          <w:rFonts w:cs="Arial"/>
          <w:szCs w:val="24"/>
        </w:rPr>
        <w:t>.</w:t>
      </w:r>
      <w:r w:rsidR="004D6173" w:rsidRPr="00ED5AD0">
        <w:rPr>
          <w:rFonts w:cs="Arial"/>
          <w:szCs w:val="24"/>
        </w:rPr>
        <w:t xml:space="preserve"> </w:t>
      </w:r>
    </w:p>
    <w:p w14:paraId="358CEB7C" w14:textId="77777777" w:rsidR="00952D26" w:rsidRPr="00ED5AD0" w:rsidRDefault="00952D26" w:rsidP="00952D26">
      <w:pPr>
        <w:ind w:left="709"/>
        <w:rPr>
          <w:rFonts w:cs="Arial"/>
          <w:szCs w:val="24"/>
        </w:rPr>
      </w:pPr>
    </w:p>
    <w:p w14:paraId="7A32D154" w14:textId="2CB69E29" w:rsidR="004D6173" w:rsidRPr="00ED5AD0" w:rsidRDefault="00952D26" w:rsidP="004D6173">
      <w:pPr>
        <w:ind w:left="709"/>
      </w:pPr>
      <w:r w:rsidRPr="00ED5AD0">
        <w:rPr>
          <w:rFonts w:cs="Arial"/>
          <w:szCs w:val="24"/>
        </w:rPr>
        <w:t>The Chief Executive’s pay</w:t>
      </w:r>
      <w:r w:rsidR="001A57CF" w:rsidRPr="00ED5AD0">
        <w:rPr>
          <w:rFonts w:cs="Arial"/>
          <w:szCs w:val="24"/>
        </w:rPr>
        <w:t xml:space="preserve"> scale</w:t>
      </w:r>
      <w:r w:rsidR="004D6173" w:rsidRPr="00ED5AD0">
        <w:rPr>
          <w:rFonts w:cs="Arial"/>
          <w:szCs w:val="24"/>
        </w:rPr>
        <w:t xml:space="preserve">, and the pay scales for </w:t>
      </w:r>
      <w:r w:rsidR="005103EB" w:rsidRPr="00ED5AD0">
        <w:rPr>
          <w:rFonts w:cs="Arial"/>
          <w:szCs w:val="24"/>
        </w:rPr>
        <w:t>Director</w:t>
      </w:r>
      <w:r w:rsidR="004D6173" w:rsidRPr="00ED5AD0">
        <w:rPr>
          <w:rFonts w:cs="Arial"/>
          <w:szCs w:val="24"/>
        </w:rPr>
        <w:t>s</w:t>
      </w:r>
      <w:r w:rsidR="006C414E" w:rsidRPr="00ED5AD0">
        <w:rPr>
          <w:rFonts w:cs="Arial"/>
          <w:szCs w:val="24"/>
        </w:rPr>
        <w:t xml:space="preserve"> </w:t>
      </w:r>
      <w:r w:rsidR="005B7A48" w:rsidRPr="00ED5AD0">
        <w:rPr>
          <w:rFonts w:cs="Arial"/>
          <w:szCs w:val="24"/>
        </w:rPr>
        <w:t>are</w:t>
      </w:r>
      <w:r w:rsidRPr="00ED5AD0">
        <w:rPr>
          <w:rFonts w:cs="Arial"/>
          <w:szCs w:val="24"/>
        </w:rPr>
        <w:t xml:space="preserve"> determined locally by the Appointments and Conditions of Service Committee</w:t>
      </w:r>
      <w:r w:rsidR="004D6173" w:rsidRPr="00ED5AD0">
        <w:rPr>
          <w:rFonts w:cs="Arial"/>
          <w:szCs w:val="24"/>
        </w:rPr>
        <w:t xml:space="preserve"> following formal consultation with recognised unions through the Joint Consultative and Safety Committee.  </w:t>
      </w:r>
      <w:r w:rsidR="006C414E" w:rsidRPr="00ED5AD0">
        <w:rPr>
          <w:rFonts w:cs="Arial"/>
          <w:szCs w:val="24"/>
        </w:rPr>
        <w:t xml:space="preserve">The pay scale for the Chief Executive was last reviewed </w:t>
      </w:r>
      <w:r w:rsidR="00A26CA8" w:rsidRPr="00ED5AD0">
        <w:rPr>
          <w:rFonts w:cs="Arial"/>
          <w:szCs w:val="24"/>
        </w:rPr>
        <w:t xml:space="preserve">in early 2018 </w:t>
      </w:r>
      <w:r w:rsidR="004D6173" w:rsidRPr="00ED5AD0">
        <w:rPr>
          <w:rFonts w:cs="Arial"/>
          <w:szCs w:val="24"/>
        </w:rPr>
        <w:t xml:space="preserve">as part of the </w:t>
      </w:r>
      <w:r w:rsidR="00A26CA8" w:rsidRPr="00ED5AD0">
        <w:rPr>
          <w:rFonts w:cs="Arial"/>
          <w:szCs w:val="24"/>
        </w:rPr>
        <w:t xml:space="preserve">recruitment process for a new Chief Executive. </w:t>
      </w:r>
      <w:r w:rsidR="000E76FA" w:rsidRPr="00ED5AD0">
        <w:rPr>
          <w:rFonts w:cs="Arial"/>
          <w:szCs w:val="24"/>
        </w:rPr>
        <w:t>I</w:t>
      </w:r>
      <w:r w:rsidR="0060335F" w:rsidRPr="00ED5AD0">
        <w:rPr>
          <w:rFonts w:cs="Arial"/>
          <w:szCs w:val="24"/>
        </w:rPr>
        <w:t xml:space="preserve">n 2016 the pay rate for </w:t>
      </w:r>
      <w:r w:rsidR="005103EB" w:rsidRPr="00ED5AD0">
        <w:rPr>
          <w:rFonts w:cs="Arial"/>
          <w:szCs w:val="24"/>
        </w:rPr>
        <w:t>Director</w:t>
      </w:r>
      <w:r w:rsidR="006C414E" w:rsidRPr="00ED5AD0">
        <w:rPr>
          <w:rFonts w:cs="Arial"/>
          <w:szCs w:val="24"/>
        </w:rPr>
        <w:t>s was also confirmed.  W</w:t>
      </w:r>
      <w:r w:rsidR="004D6173" w:rsidRPr="00ED5AD0">
        <w:rPr>
          <w:rFonts w:cs="Arial"/>
          <w:szCs w:val="24"/>
        </w:rPr>
        <w:t>hen setting these pay scales</w:t>
      </w:r>
      <w:r w:rsidR="006C414E" w:rsidRPr="00ED5AD0">
        <w:rPr>
          <w:rFonts w:cs="Arial"/>
          <w:szCs w:val="24"/>
        </w:rPr>
        <w:t xml:space="preserve"> the committee </w:t>
      </w:r>
      <w:proofErr w:type="gramStart"/>
      <w:r w:rsidR="004D6173" w:rsidRPr="00ED5AD0">
        <w:rPr>
          <w:rFonts w:cs="Arial"/>
          <w:szCs w:val="24"/>
        </w:rPr>
        <w:t>took into account</w:t>
      </w:r>
      <w:proofErr w:type="gramEnd"/>
      <w:r w:rsidR="004D6173" w:rsidRPr="00ED5AD0">
        <w:rPr>
          <w:rFonts w:cs="Arial"/>
          <w:szCs w:val="24"/>
        </w:rPr>
        <w:t xml:space="preserve"> the need to</w:t>
      </w:r>
      <w:r w:rsidR="004D6173" w:rsidRPr="00ED5AD0">
        <w:t xml:space="preserve"> balance affordability with fair pay for the work whilst also recognising pay levels for similar posts within the local market and pay differentials within the organisation.</w:t>
      </w:r>
      <w:r w:rsidR="003B3ABA" w:rsidRPr="00ED5AD0">
        <w:t xml:space="preserve"> More recently a new senior management structure has been applied from 2021 in which the grades of </w:t>
      </w:r>
      <w:proofErr w:type="gramStart"/>
      <w:r w:rsidR="003B3ABA" w:rsidRPr="00ED5AD0">
        <w:t>newly-created</w:t>
      </w:r>
      <w:proofErr w:type="gramEnd"/>
      <w:r w:rsidR="003B3ABA" w:rsidRPr="00ED5AD0">
        <w:t xml:space="preserve"> </w:t>
      </w:r>
      <w:r w:rsidR="005674DD" w:rsidRPr="00ED5AD0">
        <w:t xml:space="preserve">Assistant </w:t>
      </w:r>
      <w:r w:rsidR="005103EB" w:rsidRPr="00ED5AD0">
        <w:t>Director</w:t>
      </w:r>
      <w:r w:rsidR="005674DD" w:rsidRPr="00ED5AD0">
        <w:t>s</w:t>
      </w:r>
      <w:r w:rsidR="003B3ABA" w:rsidRPr="00ED5AD0">
        <w:t xml:space="preserve"> were reassessed.</w:t>
      </w:r>
    </w:p>
    <w:p w14:paraId="0A958931" w14:textId="77777777" w:rsidR="0077013C" w:rsidRPr="00ED5AD0" w:rsidRDefault="0077013C" w:rsidP="004D6173">
      <w:pPr>
        <w:ind w:left="709"/>
      </w:pPr>
    </w:p>
    <w:p w14:paraId="25BCD214" w14:textId="0E16FF2A" w:rsidR="001A57CF" w:rsidRPr="00ED5AD0" w:rsidRDefault="001A57CF" w:rsidP="004D6173">
      <w:pPr>
        <w:ind w:left="709"/>
      </w:pPr>
      <w:r w:rsidRPr="00ED5AD0">
        <w:t xml:space="preserve">The ACSC approved a performance-related pay scheme that applies </w:t>
      </w:r>
      <w:r w:rsidR="005674DD" w:rsidRPr="00ED5AD0">
        <w:t xml:space="preserve">to </w:t>
      </w:r>
      <w:r w:rsidR="006C414E" w:rsidRPr="00ED5AD0">
        <w:t xml:space="preserve">all </w:t>
      </w:r>
      <w:r w:rsidR="005103EB" w:rsidRPr="00ED5AD0">
        <w:t>Director</w:t>
      </w:r>
      <w:r w:rsidR="006C414E" w:rsidRPr="00ED5AD0">
        <w:t>s</w:t>
      </w:r>
      <w:r w:rsidR="00541B83" w:rsidRPr="00ED5AD0">
        <w:t xml:space="preserve"> and another for the Chief Executive</w:t>
      </w:r>
      <w:r w:rsidRPr="00ED5AD0">
        <w:t>.  Th</w:t>
      </w:r>
      <w:r w:rsidR="00541B83" w:rsidRPr="00ED5AD0">
        <w:t>ese are</w:t>
      </w:r>
      <w:r w:rsidRPr="00ED5AD0">
        <w:t xml:space="preserve"> shown at </w:t>
      </w:r>
      <w:r w:rsidRPr="00ED5AD0">
        <w:rPr>
          <w:b/>
          <w:bCs/>
        </w:rPr>
        <w:t xml:space="preserve">Appendix </w:t>
      </w:r>
      <w:r w:rsidR="005674DD" w:rsidRPr="00ED5AD0">
        <w:rPr>
          <w:b/>
          <w:bCs/>
        </w:rPr>
        <w:t>H</w:t>
      </w:r>
      <w:r w:rsidR="00541B83" w:rsidRPr="00ED5AD0">
        <w:t xml:space="preserve"> and</w:t>
      </w:r>
      <w:r w:rsidR="00541B83" w:rsidRPr="00ED5AD0">
        <w:rPr>
          <w:b/>
          <w:bCs/>
        </w:rPr>
        <w:t xml:space="preserve"> </w:t>
      </w:r>
      <w:r w:rsidR="005674DD" w:rsidRPr="00ED5AD0">
        <w:rPr>
          <w:b/>
          <w:bCs/>
        </w:rPr>
        <w:t>I</w:t>
      </w:r>
      <w:r w:rsidR="00541B83" w:rsidRPr="00ED5AD0">
        <w:t xml:space="preserve"> respectively</w:t>
      </w:r>
      <w:r w:rsidRPr="00ED5AD0">
        <w:t>.  Th</w:t>
      </w:r>
      <w:r w:rsidR="00541B83" w:rsidRPr="00ED5AD0">
        <w:t xml:space="preserve">ese schemes also </w:t>
      </w:r>
      <w:r w:rsidRPr="00ED5AD0">
        <w:t>confirm that appointment is generally at the bottom point of the pay scale and that progression through the scale is through satisfactory performance only.</w:t>
      </w:r>
    </w:p>
    <w:p w14:paraId="57D4025C" w14:textId="77777777" w:rsidR="001A57CF" w:rsidRPr="00ED5AD0" w:rsidRDefault="001A57CF" w:rsidP="004D6173">
      <w:pPr>
        <w:ind w:left="709"/>
        <w:rPr>
          <w:color w:val="000000"/>
        </w:rPr>
      </w:pPr>
    </w:p>
    <w:p w14:paraId="7B6B6CFE" w14:textId="0F1CABF1" w:rsidR="00002F0B" w:rsidRPr="00ED5AD0" w:rsidRDefault="001A57CF" w:rsidP="004D6173">
      <w:pPr>
        <w:ind w:left="709"/>
        <w:rPr>
          <w:color w:val="000000"/>
        </w:rPr>
      </w:pPr>
      <w:r w:rsidRPr="00ED5AD0">
        <w:rPr>
          <w:color w:val="000000"/>
        </w:rPr>
        <w:t>The pay p</w:t>
      </w:r>
      <w:r w:rsidR="005B7A48" w:rsidRPr="00ED5AD0">
        <w:rPr>
          <w:color w:val="000000"/>
        </w:rPr>
        <w:t>rinciples</w:t>
      </w:r>
      <w:r w:rsidRPr="00ED5AD0">
        <w:rPr>
          <w:color w:val="000000"/>
        </w:rPr>
        <w:t xml:space="preserve"> applying to </w:t>
      </w:r>
      <w:r w:rsidR="00002F0B" w:rsidRPr="00ED5AD0">
        <w:rPr>
          <w:color w:val="000000"/>
        </w:rPr>
        <w:t xml:space="preserve">the </w:t>
      </w:r>
      <w:r w:rsidR="005674DD" w:rsidRPr="00ED5AD0">
        <w:rPr>
          <w:color w:val="000000"/>
        </w:rPr>
        <w:t xml:space="preserve">Assistant </w:t>
      </w:r>
      <w:r w:rsidR="005103EB" w:rsidRPr="00ED5AD0">
        <w:rPr>
          <w:color w:val="000000"/>
        </w:rPr>
        <w:t>Director</w:t>
      </w:r>
      <w:r w:rsidR="005674DD" w:rsidRPr="00ED5AD0">
        <w:rPr>
          <w:color w:val="000000"/>
        </w:rPr>
        <w:t>s</w:t>
      </w:r>
      <w:r w:rsidR="00002F0B" w:rsidRPr="00ED5AD0">
        <w:rPr>
          <w:color w:val="000000"/>
        </w:rPr>
        <w:t xml:space="preserve"> as JNC officers w</w:t>
      </w:r>
      <w:r w:rsidR="005B7A48" w:rsidRPr="00ED5AD0">
        <w:rPr>
          <w:color w:val="000000"/>
        </w:rPr>
        <w:t>ere</w:t>
      </w:r>
      <w:r w:rsidR="00002F0B" w:rsidRPr="00ED5AD0">
        <w:rPr>
          <w:color w:val="000000"/>
        </w:rPr>
        <w:t xml:space="preserve"> determined by ACSC after consultation through the JCSC process.  The basis of these grades, how they relate to the pay of </w:t>
      </w:r>
      <w:r w:rsidR="005103EB" w:rsidRPr="00ED5AD0">
        <w:rPr>
          <w:color w:val="000000"/>
        </w:rPr>
        <w:t>Director</w:t>
      </w:r>
      <w:r w:rsidR="00002F0B" w:rsidRPr="00ED5AD0">
        <w:rPr>
          <w:color w:val="000000"/>
        </w:rPr>
        <w:t xml:space="preserve">s and the matrix used by SLT to place these jobs into the appropriate grade are shown at </w:t>
      </w:r>
      <w:r w:rsidR="00002F0B" w:rsidRPr="00ED5AD0">
        <w:rPr>
          <w:b/>
          <w:bCs/>
          <w:color w:val="000000"/>
        </w:rPr>
        <w:t xml:space="preserve">Appendix </w:t>
      </w:r>
      <w:r w:rsidR="00EB4B61" w:rsidRPr="00ED5AD0">
        <w:rPr>
          <w:b/>
          <w:bCs/>
          <w:color w:val="000000"/>
        </w:rPr>
        <w:t>D.</w:t>
      </w:r>
      <w:r w:rsidR="00002F0B" w:rsidRPr="00ED5AD0">
        <w:rPr>
          <w:color w:val="000000"/>
        </w:rPr>
        <w:t xml:space="preserve">  </w:t>
      </w:r>
    </w:p>
    <w:p w14:paraId="634149DA" w14:textId="77777777" w:rsidR="00996F0B" w:rsidRPr="00ED5AD0" w:rsidRDefault="00996F0B" w:rsidP="004D6173">
      <w:pPr>
        <w:ind w:left="709"/>
        <w:rPr>
          <w:color w:val="000000"/>
        </w:rPr>
      </w:pPr>
    </w:p>
    <w:p w14:paraId="5ABB1A84" w14:textId="3930283C" w:rsidR="000840AD" w:rsidRPr="00ED5AD0" w:rsidRDefault="00464CF9" w:rsidP="004D6173">
      <w:pPr>
        <w:ind w:left="709"/>
        <w:rPr>
          <w:color w:val="000000"/>
        </w:rPr>
      </w:pPr>
      <w:r w:rsidRPr="00ED5AD0">
        <w:rPr>
          <w:color w:val="000000"/>
        </w:rPr>
        <w:t>A</w:t>
      </w:r>
      <w:r w:rsidR="001A57CF" w:rsidRPr="00ED5AD0">
        <w:rPr>
          <w:color w:val="000000"/>
        </w:rPr>
        <w:t>s part of the</w:t>
      </w:r>
      <w:r w:rsidRPr="00ED5AD0">
        <w:rPr>
          <w:color w:val="000000"/>
        </w:rPr>
        <w:t xml:space="preserve"> implementation of the NJC national Job Evaluation Scheme in 2001, a pay policy was adopted by committee in 2001 (</w:t>
      </w:r>
      <w:r w:rsidRPr="00ED5AD0">
        <w:rPr>
          <w:b/>
          <w:bCs/>
          <w:color w:val="000000"/>
        </w:rPr>
        <w:t xml:space="preserve">Appendix </w:t>
      </w:r>
      <w:r w:rsidR="00EB4B61" w:rsidRPr="00ED5AD0">
        <w:rPr>
          <w:b/>
          <w:bCs/>
          <w:color w:val="000000"/>
        </w:rPr>
        <w:t>C</w:t>
      </w:r>
      <w:r w:rsidRPr="00ED5AD0">
        <w:rPr>
          <w:b/>
          <w:bCs/>
          <w:color w:val="000000"/>
        </w:rPr>
        <w:t>).</w:t>
      </w:r>
      <w:r w:rsidRPr="00ED5AD0">
        <w:rPr>
          <w:color w:val="000000"/>
        </w:rPr>
        <w:t xml:space="preserve">  Basic job grades are still determined using this scheme and the basic principles set out therein.  With the implementation of the job evalu</w:t>
      </w:r>
      <w:r w:rsidR="0058066F" w:rsidRPr="00ED5AD0">
        <w:rPr>
          <w:color w:val="000000"/>
        </w:rPr>
        <w:t>a</w:t>
      </w:r>
      <w:r w:rsidRPr="00ED5AD0">
        <w:rPr>
          <w:color w:val="000000"/>
        </w:rPr>
        <w:t xml:space="preserve">tion scheme came the </w:t>
      </w:r>
      <w:r w:rsidR="00002F0B" w:rsidRPr="00ED5AD0">
        <w:rPr>
          <w:color w:val="000000"/>
        </w:rPr>
        <w:t xml:space="preserve">setting of a “pay line” that </w:t>
      </w:r>
      <w:r w:rsidR="0058066F" w:rsidRPr="00ED5AD0">
        <w:rPr>
          <w:color w:val="000000"/>
        </w:rPr>
        <w:t>equat</w:t>
      </w:r>
      <w:r w:rsidR="00002F0B" w:rsidRPr="00ED5AD0">
        <w:rPr>
          <w:color w:val="000000"/>
        </w:rPr>
        <w:t xml:space="preserve">es each job’s </w:t>
      </w:r>
      <w:r w:rsidR="0058066F" w:rsidRPr="00ED5AD0">
        <w:rPr>
          <w:color w:val="000000"/>
        </w:rPr>
        <w:t xml:space="preserve">evaluation points to a job grade.  </w:t>
      </w:r>
      <w:r w:rsidR="003F2B15" w:rsidRPr="00ED5AD0">
        <w:rPr>
          <w:color w:val="000000"/>
        </w:rPr>
        <w:t xml:space="preserve">The pay policy </w:t>
      </w:r>
      <w:r w:rsidR="00C57281" w:rsidRPr="00ED5AD0">
        <w:rPr>
          <w:color w:val="000000"/>
        </w:rPr>
        <w:t xml:space="preserve">for the Council’s NJC staff </w:t>
      </w:r>
      <w:r w:rsidR="003F2B15" w:rsidRPr="00ED5AD0">
        <w:rPr>
          <w:color w:val="000000"/>
        </w:rPr>
        <w:t>defines how national spinal column points are associated to</w:t>
      </w:r>
      <w:r w:rsidR="00002F0B" w:rsidRPr="00ED5AD0">
        <w:rPr>
          <w:color w:val="000000"/>
        </w:rPr>
        <w:t xml:space="preserve"> local</w:t>
      </w:r>
      <w:r w:rsidR="00977A87" w:rsidRPr="00ED5AD0">
        <w:rPr>
          <w:color w:val="000000"/>
        </w:rPr>
        <w:t xml:space="preserve"> job grades and is</w:t>
      </w:r>
      <w:r w:rsidR="003F2B15" w:rsidRPr="00ED5AD0">
        <w:rPr>
          <w:color w:val="000000"/>
        </w:rPr>
        <w:t xml:space="preserve"> shown in Appendix </w:t>
      </w:r>
      <w:proofErr w:type="spellStart"/>
      <w:r w:rsidR="00977A87" w:rsidRPr="00ED5AD0">
        <w:rPr>
          <w:color w:val="000000"/>
        </w:rPr>
        <w:t>i</w:t>
      </w:r>
      <w:proofErr w:type="spellEnd"/>
      <w:r w:rsidR="00977A87" w:rsidRPr="00ED5AD0">
        <w:rPr>
          <w:color w:val="000000"/>
        </w:rPr>
        <w:t xml:space="preserve"> (</w:t>
      </w:r>
      <w:proofErr w:type="gramStart"/>
      <w:r w:rsidR="00977A87" w:rsidRPr="00ED5AD0">
        <w:rPr>
          <w:color w:val="000000"/>
        </w:rPr>
        <w:t>and also</w:t>
      </w:r>
      <w:proofErr w:type="gramEnd"/>
      <w:r w:rsidR="00977A87" w:rsidRPr="00ED5AD0">
        <w:rPr>
          <w:color w:val="000000"/>
        </w:rPr>
        <w:t xml:space="preserve"> as part of the Pay Strategy at </w:t>
      </w:r>
      <w:r w:rsidR="00977A87" w:rsidRPr="00ED5AD0">
        <w:rPr>
          <w:b/>
          <w:bCs/>
          <w:color w:val="000000"/>
        </w:rPr>
        <w:t xml:space="preserve">Appendix </w:t>
      </w:r>
      <w:r w:rsidR="0062593F" w:rsidRPr="00ED5AD0">
        <w:rPr>
          <w:b/>
          <w:bCs/>
          <w:color w:val="000000"/>
        </w:rPr>
        <w:t>A</w:t>
      </w:r>
      <w:r w:rsidR="00977A87" w:rsidRPr="00ED5AD0">
        <w:rPr>
          <w:color w:val="000000"/>
        </w:rPr>
        <w:t>)</w:t>
      </w:r>
      <w:r w:rsidR="003F2B15" w:rsidRPr="00ED5AD0">
        <w:rPr>
          <w:color w:val="000000"/>
        </w:rPr>
        <w:t xml:space="preserve">. </w:t>
      </w:r>
      <w:r w:rsidR="001A57CF" w:rsidRPr="00ED5AD0">
        <w:rPr>
          <w:color w:val="000000"/>
        </w:rPr>
        <w:t xml:space="preserve"> </w:t>
      </w:r>
    </w:p>
    <w:p w14:paraId="56F5307D" w14:textId="77777777" w:rsidR="000840AD" w:rsidRPr="00ED5AD0" w:rsidRDefault="00D67126" w:rsidP="004D6173">
      <w:pPr>
        <w:ind w:left="709"/>
        <w:rPr>
          <w:color w:val="000000"/>
        </w:rPr>
      </w:pPr>
      <w:r w:rsidRPr="00ED5AD0">
        <w:rPr>
          <w:color w:val="000000"/>
        </w:rPr>
        <w:br w:type="page"/>
      </w:r>
    </w:p>
    <w:p w14:paraId="175212E4" w14:textId="0CDA6DE2" w:rsidR="00EC3C67" w:rsidRPr="00ED5AD0" w:rsidRDefault="0077013C" w:rsidP="004D6173">
      <w:pPr>
        <w:ind w:left="709"/>
      </w:pPr>
      <w:r w:rsidRPr="00ED5AD0">
        <w:rPr>
          <w:color w:val="000000"/>
        </w:rPr>
        <w:lastRenderedPageBreak/>
        <w:t>Each year the 30 November is used as the reference period for pay information.</w:t>
      </w:r>
      <w:r w:rsidR="000840AD" w:rsidRPr="00ED5AD0">
        <w:rPr>
          <w:color w:val="000000"/>
        </w:rPr>
        <w:t xml:space="preserve"> </w:t>
      </w:r>
      <w:r w:rsidR="005C6B51" w:rsidRPr="00ED5AD0">
        <w:rPr>
          <w:color w:val="000000"/>
        </w:rPr>
        <w:t>Most NJC</w:t>
      </w:r>
      <w:r w:rsidR="00A93AB5" w:rsidRPr="00ED5AD0">
        <w:rPr>
          <w:color w:val="000000"/>
        </w:rPr>
        <w:t xml:space="preserve"> </w:t>
      </w:r>
      <w:r w:rsidR="005C6B51" w:rsidRPr="00ED5AD0">
        <w:rPr>
          <w:color w:val="000000"/>
        </w:rPr>
        <w:t xml:space="preserve">(most of our workforce) </w:t>
      </w:r>
      <w:r w:rsidR="00A93AB5" w:rsidRPr="00ED5AD0">
        <w:rPr>
          <w:color w:val="000000"/>
        </w:rPr>
        <w:t>employees this year (202</w:t>
      </w:r>
      <w:r w:rsidR="00EB4B61" w:rsidRPr="00ED5AD0">
        <w:rPr>
          <w:color w:val="000000"/>
        </w:rPr>
        <w:t>4</w:t>
      </w:r>
      <w:r w:rsidR="00A93AB5" w:rsidRPr="00ED5AD0">
        <w:rPr>
          <w:color w:val="000000"/>
        </w:rPr>
        <w:t>/2</w:t>
      </w:r>
      <w:r w:rsidR="00EB4B61" w:rsidRPr="00ED5AD0">
        <w:rPr>
          <w:color w:val="000000"/>
        </w:rPr>
        <w:t>5</w:t>
      </w:r>
      <w:proofErr w:type="gramStart"/>
      <w:r w:rsidR="00A93AB5" w:rsidRPr="00ED5AD0">
        <w:rPr>
          <w:color w:val="000000"/>
        </w:rPr>
        <w:t xml:space="preserve">) </w:t>
      </w:r>
      <w:r w:rsidR="00A93AB5" w:rsidRPr="00ED5AD0">
        <w:t>)</w:t>
      </w:r>
      <w:proofErr w:type="gramEnd"/>
      <w:r w:rsidR="00A93AB5" w:rsidRPr="00ED5AD0">
        <w:t xml:space="preserve"> received an award of an additional £1,</w:t>
      </w:r>
      <w:r w:rsidR="003E7525" w:rsidRPr="00ED5AD0">
        <w:t>290</w:t>
      </w:r>
      <w:r w:rsidR="00A93AB5" w:rsidRPr="00ED5AD0">
        <w:t xml:space="preserve"> on their annual full-time salary (pro rata for part time).</w:t>
      </w:r>
      <w:r w:rsidR="002C12C4" w:rsidRPr="00ED5AD0">
        <w:t xml:space="preserve"> Chief Executives </w:t>
      </w:r>
      <w:r w:rsidR="005C6B51" w:rsidRPr="00ED5AD0">
        <w:t xml:space="preserve">and Chief Officers received an award of </w:t>
      </w:r>
      <w:r w:rsidR="003E7525" w:rsidRPr="00ED5AD0">
        <w:t>2</w:t>
      </w:r>
      <w:r w:rsidR="005C6B51" w:rsidRPr="00ED5AD0">
        <w:t>.5%.</w:t>
      </w:r>
      <w:r w:rsidR="002C12C4" w:rsidRPr="00ED5AD0">
        <w:t xml:space="preserve"> </w:t>
      </w:r>
      <w:r w:rsidR="00A93AB5" w:rsidRPr="00ED5AD0">
        <w:t xml:space="preserve">This increase means that our lowest paid employees received an award of almost </w:t>
      </w:r>
      <w:r w:rsidR="005C6B51" w:rsidRPr="00ED5AD0">
        <w:t xml:space="preserve">around </w:t>
      </w:r>
      <w:r w:rsidR="00B0605A" w:rsidRPr="00ED5AD0">
        <w:t>5.5</w:t>
      </w:r>
      <w:r w:rsidR="005C6B51" w:rsidRPr="00ED5AD0">
        <w:t>%</w:t>
      </w:r>
      <w:r w:rsidR="006A17E4" w:rsidRPr="00ED5AD0">
        <w:t>.</w:t>
      </w:r>
      <w:r w:rsidR="000842BC" w:rsidRPr="00ED5AD0">
        <w:t xml:space="preserve"> By making an award </w:t>
      </w:r>
      <w:r w:rsidR="005C6B51" w:rsidRPr="00ED5AD0">
        <w:t xml:space="preserve">to NJC employees </w:t>
      </w:r>
      <w:r w:rsidR="000842BC" w:rsidRPr="00ED5AD0">
        <w:t xml:space="preserve">based on a flat payment rather than as a percentage of pay means that pay differentials between high and low pay are reduced and this is reflected in this Pay Policy Statement. The consequence is also that Local Government pay continues to start at a figure </w:t>
      </w:r>
      <w:proofErr w:type="gramStart"/>
      <w:r w:rsidR="000842BC" w:rsidRPr="00ED5AD0">
        <w:t>in excess of</w:t>
      </w:r>
      <w:proofErr w:type="gramEnd"/>
      <w:r w:rsidR="000842BC" w:rsidRPr="00ED5AD0">
        <w:t xml:space="preserve"> the National Living Wage. </w:t>
      </w:r>
      <w:r w:rsidR="00531569" w:rsidRPr="00ED5AD0">
        <w:t xml:space="preserve">  </w:t>
      </w:r>
      <w:r w:rsidR="000840AD" w:rsidRPr="00ED5AD0">
        <w:t xml:space="preserve"> </w:t>
      </w:r>
    </w:p>
    <w:p w14:paraId="0AE25AC2" w14:textId="77777777" w:rsidR="000842BC" w:rsidRPr="00ED5AD0" w:rsidRDefault="000842BC" w:rsidP="004D6173">
      <w:pPr>
        <w:ind w:left="709"/>
      </w:pPr>
    </w:p>
    <w:p w14:paraId="521A279B" w14:textId="77777777" w:rsidR="003F2B15" w:rsidRPr="00ED5AD0" w:rsidRDefault="003F2B15" w:rsidP="00D32888">
      <w:pPr>
        <w:numPr>
          <w:ilvl w:val="2"/>
          <w:numId w:val="16"/>
        </w:numPr>
        <w:ind w:left="1418"/>
        <w:rPr>
          <w:b/>
        </w:rPr>
      </w:pPr>
      <w:r w:rsidRPr="00ED5AD0">
        <w:rPr>
          <w:b/>
        </w:rPr>
        <w:t>Enhancemen</w:t>
      </w:r>
      <w:r w:rsidR="00503085" w:rsidRPr="00ED5AD0">
        <w:rPr>
          <w:b/>
        </w:rPr>
        <w:t xml:space="preserve">ts to </w:t>
      </w:r>
      <w:r w:rsidR="00222CE1" w:rsidRPr="00ED5AD0">
        <w:rPr>
          <w:b/>
        </w:rPr>
        <w:t>Chief Officer</w:t>
      </w:r>
      <w:r w:rsidR="00503085" w:rsidRPr="00ED5AD0">
        <w:rPr>
          <w:b/>
        </w:rPr>
        <w:t>s’</w:t>
      </w:r>
      <w:r w:rsidR="009312B1" w:rsidRPr="00ED5AD0">
        <w:rPr>
          <w:b/>
        </w:rPr>
        <w:t xml:space="preserve"> </w:t>
      </w:r>
      <w:r w:rsidR="00A12001" w:rsidRPr="00ED5AD0">
        <w:rPr>
          <w:b/>
        </w:rPr>
        <w:t>b</w:t>
      </w:r>
      <w:r w:rsidR="00503085" w:rsidRPr="00ED5AD0">
        <w:rPr>
          <w:b/>
        </w:rPr>
        <w:t xml:space="preserve">asic </w:t>
      </w:r>
      <w:r w:rsidR="00A12001" w:rsidRPr="00ED5AD0">
        <w:rPr>
          <w:b/>
        </w:rPr>
        <w:t>p</w:t>
      </w:r>
      <w:r w:rsidR="00503085" w:rsidRPr="00ED5AD0">
        <w:rPr>
          <w:b/>
        </w:rPr>
        <w:t>ay</w:t>
      </w:r>
    </w:p>
    <w:p w14:paraId="506E4BBC" w14:textId="5B4B6347" w:rsidR="00B06B21" w:rsidRPr="00ED5AD0" w:rsidRDefault="00B06B21" w:rsidP="00B06B21">
      <w:pPr>
        <w:ind w:left="720"/>
        <w:rPr>
          <w:szCs w:val="24"/>
        </w:rPr>
      </w:pPr>
      <w:r w:rsidRPr="00ED5AD0">
        <w:t xml:space="preserve">Following the review of local pay in 2016 pay grades have largely been simplified and are now designed to reflect a fair market rate for the job.  </w:t>
      </w:r>
      <w:proofErr w:type="gramStart"/>
      <w:r w:rsidRPr="00ED5AD0">
        <w:t>Consequently</w:t>
      </w:r>
      <w:proofErr w:type="gramEnd"/>
      <w:r w:rsidRPr="00ED5AD0">
        <w:t xml:space="preserve"> previous policies that allowed additional </w:t>
      </w:r>
      <w:r w:rsidR="00E371F3" w:rsidRPr="00ED5AD0">
        <w:t xml:space="preserve">enhanced </w:t>
      </w:r>
      <w:r w:rsidRPr="00ED5AD0">
        <w:t>payments to be applied either to Chief Officer or other NJC employees have now been removed</w:t>
      </w:r>
      <w:r w:rsidR="0060335F" w:rsidRPr="00ED5AD0">
        <w:t xml:space="preserve"> other than for the </w:t>
      </w:r>
      <w:r w:rsidR="0013700C" w:rsidRPr="00ED5AD0">
        <w:rPr>
          <w:b/>
          <w:bCs/>
        </w:rPr>
        <w:t xml:space="preserve">Assistant </w:t>
      </w:r>
      <w:r w:rsidR="005103EB" w:rsidRPr="00ED5AD0">
        <w:rPr>
          <w:b/>
          <w:bCs/>
        </w:rPr>
        <w:t>Director</w:t>
      </w:r>
      <w:r w:rsidR="0013700C" w:rsidRPr="00ED5AD0">
        <w:rPr>
          <w:b/>
          <w:bCs/>
        </w:rPr>
        <w:t>s</w:t>
      </w:r>
      <w:r w:rsidR="00C2036F" w:rsidRPr="00ED5AD0">
        <w:t xml:space="preserve"> undertaking statutory roles (Monitoring Officer and Section 151 Officer) where </w:t>
      </w:r>
      <w:proofErr w:type="spellStart"/>
      <w:r w:rsidR="00C2036F" w:rsidRPr="00ED5AD0">
        <w:t>plussages</w:t>
      </w:r>
      <w:proofErr w:type="spellEnd"/>
      <w:r w:rsidR="00C2036F" w:rsidRPr="00ED5AD0">
        <w:t xml:space="preserve"> of between 5% and 10% are applied. </w:t>
      </w:r>
    </w:p>
    <w:p w14:paraId="325C50C0" w14:textId="77777777" w:rsidR="00ED150A" w:rsidRPr="00ED5AD0" w:rsidRDefault="00ED150A" w:rsidP="007F2504">
      <w:pPr>
        <w:ind w:left="720"/>
        <w:rPr>
          <w:szCs w:val="24"/>
        </w:rPr>
      </w:pPr>
    </w:p>
    <w:p w14:paraId="1A92AD58" w14:textId="77777777" w:rsidR="00855327" w:rsidRPr="00ED5AD0" w:rsidRDefault="00855327" w:rsidP="00D32888">
      <w:pPr>
        <w:numPr>
          <w:ilvl w:val="2"/>
          <w:numId w:val="16"/>
        </w:numPr>
        <w:ind w:left="1418"/>
        <w:rPr>
          <w:b/>
        </w:rPr>
      </w:pPr>
      <w:r w:rsidRPr="00ED5AD0">
        <w:rPr>
          <w:b/>
        </w:rPr>
        <w:t xml:space="preserve">Additional </w:t>
      </w:r>
      <w:r w:rsidR="00A12001" w:rsidRPr="00ED5AD0">
        <w:rPr>
          <w:b/>
        </w:rPr>
        <w:t>p</w:t>
      </w:r>
      <w:r w:rsidRPr="00ED5AD0">
        <w:rPr>
          <w:b/>
        </w:rPr>
        <w:t xml:space="preserve">ayments made to </w:t>
      </w:r>
      <w:r w:rsidR="00222CE1" w:rsidRPr="00ED5AD0">
        <w:rPr>
          <w:b/>
        </w:rPr>
        <w:t>Chief Officer</w:t>
      </w:r>
      <w:r w:rsidRPr="00ED5AD0">
        <w:rPr>
          <w:b/>
        </w:rPr>
        <w:t>s</w:t>
      </w:r>
    </w:p>
    <w:p w14:paraId="0810C969" w14:textId="77777777" w:rsidR="00855327" w:rsidRPr="00ED5AD0" w:rsidRDefault="00B06B21" w:rsidP="00855327">
      <w:pPr>
        <w:ind w:left="720"/>
      </w:pPr>
      <w:r w:rsidRPr="00ED5AD0">
        <w:t xml:space="preserve">The </w:t>
      </w:r>
      <w:r w:rsidR="00855327" w:rsidRPr="00ED5AD0">
        <w:t xml:space="preserve">only additional payment made to </w:t>
      </w:r>
      <w:r w:rsidR="00222CE1" w:rsidRPr="00ED5AD0">
        <w:t>Chief Officer</w:t>
      </w:r>
      <w:r w:rsidR="00855327" w:rsidRPr="00ED5AD0">
        <w:t>s relates to election expenses.  The only post formally designated within legislation and to which expenses are paid is that of Chief Executive which is nominated as the Returning Officer.  The role of Deputy Returning Officer may be applied to any other post and payment may not be made simply because of this designation.</w:t>
      </w:r>
    </w:p>
    <w:p w14:paraId="070B7CB7" w14:textId="77777777" w:rsidR="00855327" w:rsidRPr="00ED5AD0" w:rsidRDefault="00855327" w:rsidP="00855327">
      <w:pPr>
        <w:ind w:left="720"/>
      </w:pPr>
    </w:p>
    <w:p w14:paraId="5EBC3B77" w14:textId="77777777" w:rsidR="00855327" w:rsidRPr="00ED5AD0" w:rsidRDefault="00855327" w:rsidP="00855327">
      <w:pPr>
        <w:ind w:left="720"/>
      </w:pPr>
      <w:r w:rsidRPr="00ED5AD0">
        <w:t>Payments to the Returning Officer are governed as follows:</w:t>
      </w:r>
    </w:p>
    <w:p w14:paraId="76422CE7" w14:textId="55E8D547" w:rsidR="00855327" w:rsidRPr="00ED5AD0" w:rsidRDefault="00855327" w:rsidP="00855327">
      <w:pPr>
        <w:ind w:left="720"/>
      </w:pPr>
      <w:r w:rsidRPr="00ED5AD0">
        <w:t>For national elections, fees are prescribed by the Electoral Commission.</w:t>
      </w:r>
    </w:p>
    <w:p w14:paraId="63C1909A" w14:textId="77777777" w:rsidR="00855327" w:rsidRPr="00ED5AD0" w:rsidRDefault="00855327" w:rsidP="00855327">
      <w:pPr>
        <w:ind w:left="720"/>
      </w:pPr>
    </w:p>
    <w:p w14:paraId="13D5595C" w14:textId="77777777" w:rsidR="00855327" w:rsidRPr="00ED5AD0" w:rsidRDefault="00855327" w:rsidP="00855327">
      <w:pPr>
        <w:ind w:left="720"/>
      </w:pPr>
      <w:r w:rsidRPr="00ED5AD0">
        <w:t xml:space="preserve">For local elections, fees are determined within a local framework used by other </w:t>
      </w:r>
      <w:r w:rsidR="000E48ED" w:rsidRPr="00ED5AD0">
        <w:t>district c</w:t>
      </w:r>
      <w:r w:rsidRPr="00ED5AD0">
        <w:t>ouncils within the County.  This framework is applied consistently and is known as “The County Scale”.  This is reviewed periodically by lead electoral officers within the boroughs.</w:t>
      </w:r>
      <w:r w:rsidR="00AB250F" w:rsidRPr="00ED5AD0">
        <w:t xml:space="preserve"> </w:t>
      </w:r>
    </w:p>
    <w:p w14:paraId="7AD1EA19" w14:textId="77777777" w:rsidR="00AE0CA6" w:rsidRPr="00ED5AD0" w:rsidRDefault="00AE0CA6" w:rsidP="00855327">
      <w:pPr>
        <w:ind w:left="720"/>
      </w:pPr>
    </w:p>
    <w:p w14:paraId="620EAC74" w14:textId="77777777" w:rsidR="00855327" w:rsidRPr="00ED5AD0" w:rsidRDefault="00D97252" w:rsidP="00D32888">
      <w:pPr>
        <w:numPr>
          <w:ilvl w:val="1"/>
          <w:numId w:val="16"/>
        </w:numPr>
        <w:ind w:left="709"/>
        <w:rPr>
          <w:b/>
        </w:rPr>
      </w:pPr>
      <w:r w:rsidRPr="00ED5AD0">
        <w:rPr>
          <w:b/>
        </w:rPr>
        <w:t xml:space="preserve"> </w:t>
      </w:r>
      <w:r w:rsidR="004F4E8E" w:rsidRPr="00ED5AD0">
        <w:rPr>
          <w:b/>
        </w:rPr>
        <w:t xml:space="preserve">Salary </w:t>
      </w:r>
      <w:r w:rsidR="00A12001" w:rsidRPr="00ED5AD0">
        <w:rPr>
          <w:b/>
        </w:rPr>
        <w:t>p</w:t>
      </w:r>
      <w:r w:rsidR="004F4E8E" w:rsidRPr="00ED5AD0">
        <w:rPr>
          <w:b/>
        </w:rPr>
        <w:t>rotection</w:t>
      </w:r>
    </w:p>
    <w:p w14:paraId="67FAC337" w14:textId="1A8698F8" w:rsidR="004F4E8E" w:rsidRPr="00ED5AD0" w:rsidRDefault="004F4E8E" w:rsidP="004F4E8E">
      <w:pPr>
        <w:ind w:left="792"/>
      </w:pPr>
      <w:r w:rsidRPr="00ED5AD0">
        <w:t xml:space="preserve">The Council’s Pay Protection Policy was reviewed </w:t>
      </w:r>
      <w:r w:rsidR="004B3457" w:rsidRPr="00ED5AD0">
        <w:t xml:space="preserve">during 2019. </w:t>
      </w:r>
      <w:r w:rsidRPr="00ED5AD0">
        <w:t xml:space="preserve">A full description of the </w:t>
      </w:r>
      <w:r w:rsidR="00BE05CC" w:rsidRPr="00ED5AD0">
        <w:t>p</w:t>
      </w:r>
      <w:r w:rsidRPr="00ED5AD0">
        <w:t xml:space="preserve">olicy is shown at </w:t>
      </w:r>
      <w:r w:rsidRPr="00ED5AD0">
        <w:rPr>
          <w:b/>
          <w:bCs/>
        </w:rPr>
        <w:t xml:space="preserve">Appendix </w:t>
      </w:r>
      <w:r w:rsidR="0013700C" w:rsidRPr="00ED5AD0">
        <w:rPr>
          <w:b/>
          <w:bCs/>
        </w:rPr>
        <w:t>J</w:t>
      </w:r>
      <w:r w:rsidRPr="00ED5AD0">
        <w:rPr>
          <w:b/>
          <w:bCs/>
        </w:rPr>
        <w:t>.</w:t>
      </w:r>
      <w:r w:rsidRPr="00ED5AD0">
        <w:t xml:space="preserve">  </w:t>
      </w:r>
      <w:r w:rsidR="00F30599" w:rsidRPr="00ED5AD0">
        <w:t xml:space="preserve">This Pay Protection Policy applies to all employees of the Council, including </w:t>
      </w:r>
      <w:r w:rsidR="00222CE1" w:rsidRPr="00ED5AD0">
        <w:t>Chief Officer</w:t>
      </w:r>
      <w:r w:rsidR="00F30599" w:rsidRPr="00ED5AD0">
        <w:t xml:space="preserve">s as defined in the Localism Act.  </w:t>
      </w:r>
      <w:r w:rsidRPr="00ED5AD0">
        <w:t xml:space="preserve">In essence, should a case of pay protection arise, for example due to redeployment or down-grading of a post, protection between an employee’s salary at that time and the value of their </w:t>
      </w:r>
      <w:r w:rsidR="00AB250F" w:rsidRPr="00ED5AD0">
        <w:t xml:space="preserve">new </w:t>
      </w:r>
      <w:r w:rsidRPr="00ED5AD0">
        <w:t>substantive post will apply in the following way:</w:t>
      </w:r>
    </w:p>
    <w:p w14:paraId="1A201676" w14:textId="77777777" w:rsidR="004F4E8E" w:rsidRPr="00ED5AD0" w:rsidRDefault="004F4E8E" w:rsidP="004F4E8E">
      <w:pPr>
        <w:ind w:left="792"/>
      </w:pPr>
      <w:r w:rsidRPr="00ED5AD0">
        <w:t>-</w:t>
      </w:r>
      <w:r w:rsidRPr="00ED5AD0">
        <w:tab/>
        <w:t>100% for one year</w:t>
      </w:r>
    </w:p>
    <w:p w14:paraId="5C0A5B8C" w14:textId="77777777" w:rsidR="004B3457" w:rsidRPr="00ED5AD0" w:rsidRDefault="004F4E8E" w:rsidP="004B3457">
      <w:pPr>
        <w:ind w:left="792"/>
      </w:pPr>
      <w:r w:rsidRPr="00ED5AD0">
        <w:t>-</w:t>
      </w:r>
      <w:r w:rsidRPr="00ED5AD0">
        <w:tab/>
      </w:r>
      <w:r w:rsidR="004B3457" w:rsidRPr="00ED5AD0">
        <w:t>50</w:t>
      </w:r>
      <w:r w:rsidRPr="00ED5AD0">
        <w:t>% for year two</w:t>
      </w:r>
    </w:p>
    <w:p w14:paraId="1466E9EC" w14:textId="77777777" w:rsidR="004F4E8E" w:rsidRPr="00ED5AD0" w:rsidRDefault="004F4E8E" w:rsidP="004F4E8E">
      <w:pPr>
        <w:ind w:left="792"/>
      </w:pPr>
      <w:r w:rsidRPr="00ED5AD0">
        <w:t>.</w:t>
      </w:r>
    </w:p>
    <w:p w14:paraId="4B28B0F7" w14:textId="77777777" w:rsidR="0040416F" w:rsidRPr="00ED5AD0" w:rsidRDefault="0040416F" w:rsidP="004F4E8E">
      <w:pPr>
        <w:ind w:left="792"/>
      </w:pPr>
    </w:p>
    <w:p w14:paraId="7319D057" w14:textId="77777777" w:rsidR="004F4E8E" w:rsidRPr="00ED5AD0" w:rsidRDefault="00B06B21" w:rsidP="004F4E8E">
      <w:pPr>
        <w:ind w:left="792"/>
      </w:pPr>
      <w:r w:rsidRPr="00ED5AD0">
        <w:t xml:space="preserve">Salary protection would not occur in cases where a post holder was </w:t>
      </w:r>
      <w:proofErr w:type="gramStart"/>
      <w:r w:rsidRPr="00ED5AD0">
        <w:t>down-graded</w:t>
      </w:r>
      <w:proofErr w:type="gramEnd"/>
      <w:r w:rsidRPr="00ED5AD0">
        <w:t xml:space="preserve"> to work of lower pay following disciplinary action.</w:t>
      </w:r>
    </w:p>
    <w:p w14:paraId="405A86ED" w14:textId="77777777" w:rsidR="000842BC" w:rsidRPr="00ED5AD0" w:rsidRDefault="000842BC" w:rsidP="004F4E8E">
      <w:pPr>
        <w:ind w:left="792"/>
      </w:pPr>
    </w:p>
    <w:p w14:paraId="6BF70C89" w14:textId="77777777" w:rsidR="00B06B21" w:rsidRPr="00ED5AD0" w:rsidRDefault="00B06B21" w:rsidP="004F4E8E">
      <w:pPr>
        <w:ind w:left="792"/>
        <w:rPr>
          <w:color w:val="000000"/>
        </w:rPr>
      </w:pPr>
    </w:p>
    <w:p w14:paraId="12B17440" w14:textId="77777777" w:rsidR="006A17E4" w:rsidRPr="00ED5AD0" w:rsidRDefault="006A17E4" w:rsidP="004F4E8E">
      <w:pPr>
        <w:ind w:left="792"/>
        <w:rPr>
          <w:color w:val="000000"/>
        </w:rPr>
      </w:pPr>
    </w:p>
    <w:p w14:paraId="7D63A52B" w14:textId="77777777" w:rsidR="006A17E4" w:rsidRPr="00ED5AD0" w:rsidRDefault="006A17E4" w:rsidP="004F4E8E">
      <w:pPr>
        <w:ind w:left="792"/>
        <w:rPr>
          <w:color w:val="000000"/>
        </w:rPr>
      </w:pPr>
    </w:p>
    <w:p w14:paraId="749CB88D" w14:textId="77777777" w:rsidR="006A17E4" w:rsidRPr="00ED5AD0" w:rsidRDefault="006A17E4" w:rsidP="004F4E8E">
      <w:pPr>
        <w:ind w:left="792"/>
        <w:rPr>
          <w:color w:val="000000"/>
        </w:rPr>
      </w:pPr>
    </w:p>
    <w:p w14:paraId="0E8D878B" w14:textId="77777777" w:rsidR="006A17E4" w:rsidRPr="00ED5AD0" w:rsidRDefault="006A17E4" w:rsidP="004F4E8E">
      <w:pPr>
        <w:ind w:left="792"/>
        <w:rPr>
          <w:color w:val="000000"/>
        </w:rPr>
      </w:pPr>
    </w:p>
    <w:p w14:paraId="137C08E6" w14:textId="77777777" w:rsidR="006A17E4" w:rsidRPr="00ED5AD0" w:rsidRDefault="006A17E4" w:rsidP="004F4E8E">
      <w:pPr>
        <w:ind w:left="792"/>
        <w:rPr>
          <w:color w:val="000000"/>
        </w:rPr>
      </w:pPr>
    </w:p>
    <w:p w14:paraId="7FA8C6D2" w14:textId="77777777" w:rsidR="00D97252" w:rsidRPr="00ED5AD0" w:rsidRDefault="00D97252" w:rsidP="00D32888">
      <w:pPr>
        <w:pStyle w:val="ListParagraph"/>
        <w:numPr>
          <w:ilvl w:val="0"/>
          <w:numId w:val="12"/>
        </w:numPr>
        <w:spacing w:after="0" w:line="240" w:lineRule="auto"/>
        <w:rPr>
          <w:rFonts w:eastAsia="Times New Roman"/>
          <w:b/>
          <w:vanish/>
          <w:color w:val="000000"/>
          <w:szCs w:val="20"/>
        </w:rPr>
      </w:pPr>
    </w:p>
    <w:p w14:paraId="08E06B97" w14:textId="77777777" w:rsidR="00D97252" w:rsidRPr="00ED5AD0" w:rsidRDefault="00D97252" w:rsidP="00D32888">
      <w:pPr>
        <w:pStyle w:val="ListParagraph"/>
        <w:numPr>
          <w:ilvl w:val="0"/>
          <w:numId w:val="12"/>
        </w:numPr>
        <w:spacing w:after="0" w:line="240" w:lineRule="auto"/>
        <w:rPr>
          <w:rFonts w:eastAsia="Times New Roman"/>
          <w:b/>
          <w:vanish/>
          <w:color w:val="000000"/>
          <w:szCs w:val="20"/>
        </w:rPr>
      </w:pPr>
    </w:p>
    <w:p w14:paraId="248C38BA" w14:textId="77777777" w:rsidR="00D97252" w:rsidRPr="00ED5AD0" w:rsidRDefault="00D97252" w:rsidP="00D32888">
      <w:pPr>
        <w:pStyle w:val="ListParagraph"/>
        <w:numPr>
          <w:ilvl w:val="0"/>
          <w:numId w:val="12"/>
        </w:numPr>
        <w:spacing w:after="0" w:line="240" w:lineRule="auto"/>
        <w:rPr>
          <w:rFonts w:eastAsia="Times New Roman"/>
          <w:b/>
          <w:vanish/>
          <w:color w:val="000000"/>
          <w:szCs w:val="20"/>
        </w:rPr>
      </w:pPr>
    </w:p>
    <w:p w14:paraId="32690C3E" w14:textId="77777777" w:rsidR="00F30599" w:rsidRPr="00ED5AD0" w:rsidRDefault="00F30599" w:rsidP="00D32888">
      <w:pPr>
        <w:numPr>
          <w:ilvl w:val="1"/>
          <w:numId w:val="12"/>
        </w:numPr>
        <w:rPr>
          <w:b/>
          <w:color w:val="000000"/>
        </w:rPr>
      </w:pPr>
      <w:r w:rsidRPr="00ED5AD0">
        <w:rPr>
          <w:b/>
          <w:color w:val="000000"/>
        </w:rPr>
        <w:t>Lowest-pay and the relationship wi</w:t>
      </w:r>
      <w:r w:rsidR="00503085" w:rsidRPr="00ED5AD0">
        <w:rPr>
          <w:b/>
          <w:color w:val="000000"/>
        </w:rPr>
        <w:t>th highest pay</w:t>
      </w:r>
    </w:p>
    <w:p w14:paraId="030763BE" w14:textId="77777777" w:rsidR="00503085" w:rsidRPr="00ED5AD0" w:rsidRDefault="00503085" w:rsidP="00F30599">
      <w:pPr>
        <w:ind w:left="709"/>
      </w:pPr>
    </w:p>
    <w:p w14:paraId="4D8A32DC" w14:textId="77777777" w:rsidR="00503085" w:rsidRPr="00ED5AD0" w:rsidRDefault="00D97252" w:rsidP="00F30599">
      <w:pPr>
        <w:ind w:left="709"/>
        <w:rPr>
          <w:b/>
        </w:rPr>
      </w:pPr>
      <w:r w:rsidRPr="00ED5AD0">
        <w:rPr>
          <w:b/>
        </w:rPr>
        <w:t>4</w:t>
      </w:r>
      <w:r w:rsidR="00F30599" w:rsidRPr="00ED5AD0">
        <w:rPr>
          <w:b/>
        </w:rPr>
        <w:t>.3.1.</w:t>
      </w:r>
      <w:r w:rsidR="00503085" w:rsidRPr="00ED5AD0">
        <w:rPr>
          <w:b/>
        </w:rPr>
        <w:t xml:space="preserve"> Definition; “lowest pay”</w:t>
      </w:r>
    </w:p>
    <w:p w14:paraId="49CDFCA9" w14:textId="18B85B99" w:rsidR="00074D88" w:rsidRPr="00ED5AD0" w:rsidRDefault="00F30599" w:rsidP="00F30599">
      <w:pPr>
        <w:ind w:left="709"/>
      </w:pPr>
      <w:r w:rsidRPr="00ED5AD0">
        <w:t xml:space="preserve">The definition of “lowest pay” for the purpose of this Pay Policy Statement is, “The lowest spinal column </w:t>
      </w:r>
      <w:proofErr w:type="gramStart"/>
      <w:r w:rsidRPr="00ED5AD0">
        <w:t>point</w:t>
      </w:r>
      <w:proofErr w:type="gramEnd"/>
      <w:r w:rsidRPr="00ED5AD0">
        <w:t xml:space="preserve"> in the national pay spine that is used within the local pay and grading structure of the Council</w:t>
      </w:r>
      <w:r w:rsidR="003C766C" w:rsidRPr="00ED5AD0">
        <w:t xml:space="preserve"> for non-training posts</w:t>
      </w:r>
      <w:r w:rsidRPr="00ED5AD0">
        <w:t xml:space="preserve">.  </w:t>
      </w:r>
      <w:r w:rsidR="003C766C" w:rsidRPr="00ED5AD0">
        <w:t>A</w:t>
      </w:r>
      <w:r w:rsidR="00074D88" w:rsidRPr="00ED5AD0">
        <w:t xml:space="preserve">s </w:t>
      </w:r>
      <w:proofErr w:type="gramStart"/>
      <w:r w:rsidR="00074D88" w:rsidRPr="00ED5AD0">
        <w:t>at</w:t>
      </w:r>
      <w:proofErr w:type="gramEnd"/>
      <w:r w:rsidR="003C766C" w:rsidRPr="00ED5AD0">
        <w:t xml:space="preserve"> November </w:t>
      </w:r>
      <w:r w:rsidR="00074D88" w:rsidRPr="00ED5AD0">
        <w:t>20</w:t>
      </w:r>
      <w:r w:rsidR="0060335F" w:rsidRPr="00ED5AD0">
        <w:t>2</w:t>
      </w:r>
      <w:r w:rsidR="0013700C" w:rsidRPr="00ED5AD0">
        <w:t>4</w:t>
      </w:r>
      <w:r w:rsidR="00074D88" w:rsidRPr="00ED5AD0">
        <w:t xml:space="preserve"> </w:t>
      </w:r>
      <w:r w:rsidR="003C766C" w:rsidRPr="00ED5AD0">
        <w:t xml:space="preserve">this is </w:t>
      </w:r>
      <w:r w:rsidRPr="00ED5AD0">
        <w:t xml:space="preserve">Spinal Column Point </w:t>
      </w:r>
      <w:r w:rsidR="00F0661F" w:rsidRPr="00ED5AD0">
        <w:t>5 within Band 3</w:t>
      </w:r>
      <w:r w:rsidRPr="00ED5AD0">
        <w:t>”.</w:t>
      </w:r>
      <w:r w:rsidR="000A7185" w:rsidRPr="00ED5AD0">
        <w:t xml:space="preserve">  </w:t>
      </w:r>
    </w:p>
    <w:p w14:paraId="7E62CEF6" w14:textId="77777777" w:rsidR="00074D88" w:rsidRPr="00ED5AD0" w:rsidRDefault="00074D88" w:rsidP="00F30599">
      <w:pPr>
        <w:ind w:left="709"/>
      </w:pPr>
    </w:p>
    <w:p w14:paraId="2FAA9EF7" w14:textId="6661B92C" w:rsidR="00503085" w:rsidRPr="00ED5AD0" w:rsidRDefault="00A72FDC" w:rsidP="00F30599">
      <w:pPr>
        <w:ind w:left="709"/>
      </w:pPr>
      <w:r w:rsidRPr="00ED5AD0">
        <w:t xml:space="preserve">The Council’s current </w:t>
      </w:r>
      <w:r w:rsidR="00696107" w:rsidRPr="00ED5AD0">
        <w:t xml:space="preserve">Pay Strategy is shown at </w:t>
      </w:r>
      <w:r w:rsidR="00696107" w:rsidRPr="00ED5AD0">
        <w:rPr>
          <w:b/>
          <w:bCs/>
        </w:rPr>
        <w:t xml:space="preserve">Appendix </w:t>
      </w:r>
      <w:r w:rsidR="0005155F" w:rsidRPr="00ED5AD0">
        <w:rPr>
          <w:b/>
          <w:bCs/>
        </w:rPr>
        <w:t>A</w:t>
      </w:r>
      <w:r w:rsidR="00696107" w:rsidRPr="00ED5AD0">
        <w:t xml:space="preserve"> and the </w:t>
      </w:r>
      <w:r w:rsidR="00074D88" w:rsidRPr="00ED5AD0">
        <w:t xml:space="preserve">general </w:t>
      </w:r>
      <w:r w:rsidRPr="00ED5AD0">
        <w:t xml:space="preserve">Pay Policy </w:t>
      </w:r>
      <w:r w:rsidR="00074D88" w:rsidRPr="00ED5AD0">
        <w:t xml:space="preserve">is </w:t>
      </w:r>
      <w:r w:rsidRPr="00ED5AD0">
        <w:t xml:space="preserve">shown at </w:t>
      </w:r>
      <w:r w:rsidRPr="00ED5AD0">
        <w:rPr>
          <w:b/>
          <w:bCs/>
        </w:rPr>
        <w:t xml:space="preserve">Appendix </w:t>
      </w:r>
      <w:r w:rsidR="0013700C" w:rsidRPr="00ED5AD0">
        <w:rPr>
          <w:b/>
          <w:bCs/>
        </w:rPr>
        <w:t>C</w:t>
      </w:r>
      <w:r w:rsidR="00074D88" w:rsidRPr="00ED5AD0">
        <w:t xml:space="preserve">. This policy </w:t>
      </w:r>
      <w:r w:rsidRPr="00ED5AD0">
        <w:t>reflects the decision to adopt the national pay spine to form the basis of our grading structure.</w:t>
      </w:r>
      <w:r w:rsidR="00AE0CA6" w:rsidRPr="00ED5AD0">
        <w:t xml:space="preserve">  </w:t>
      </w:r>
      <w:r w:rsidR="004C1585" w:rsidRPr="00ED5AD0">
        <w:t xml:space="preserve">National spinal column points were renumbered </w:t>
      </w:r>
      <w:r w:rsidR="00CF5BDC" w:rsidRPr="00ED5AD0">
        <w:t xml:space="preserve">with effect from April 2019 and the revised points were incorporated into the Council’s local grading system. </w:t>
      </w:r>
    </w:p>
    <w:p w14:paraId="3FA13D47" w14:textId="77777777" w:rsidR="0040354C" w:rsidRPr="00ED5AD0" w:rsidRDefault="0040354C" w:rsidP="00F30599">
      <w:pPr>
        <w:ind w:left="709"/>
      </w:pPr>
    </w:p>
    <w:p w14:paraId="27B89493" w14:textId="77777777" w:rsidR="00503085" w:rsidRPr="00ED5AD0" w:rsidRDefault="00D97252" w:rsidP="00F30599">
      <w:pPr>
        <w:ind w:left="709"/>
        <w:rPr>
          <w:b/>
        </w:rPr>
      </w:pPr>
      <w:r w:rsidRPr="00ED5AD0">
        <w:rPr>
          <w:b/>
        </w:rPr>
        <w:t>4</w:t>
      </w:r>
      <w:r w:rsidR="00F30599" w:rsidRPr="00ED5AD0">
        <w:rPr>
          <w:b/>
        </w:rPr>
        <w:t xml:space="preserve">.3.2. </w:t>
      </w:r>
      <w:r w:rsidR="00503085" w:rsidRPr="00ED5AD0">
        <w:rPr>
          <w:b/>
        </w:rPr>
        <w:t>Definition; “highest pay”</w:t>
      </w:r>
    </w:p>
    <w:p w14:paraId="6F28A5B0" w14:textId="77777777" w:rsidR="006B6D20" w:rsidRPr="00ED5AD0" w:rsidRDefault="00F30599" w:rsidP="00F30599">
      <w:pPr>
        <w:ind w:left="709"/>
      </w:pPr>
      <w:r w:rsidRPr="00ED5AD0">
        <w:t>The definition of “</w:t>
      </w:r>
      <w:r w:rsidR="00503085" w:rsidRPr="00ED5AD0">
        <w:t>highest</w:t>
      </w:r>
      <w:r w:rsidRPr="00ED5AD0">
        <w:t xml:space="preserve"> pay” for the purpose of this Pay Policy Statement is, “The </w:t>
      </w:r>
      <w:r w:rsidR="00503085" w:rsidRPr="00ED5AD0">
        <w:t>highest</w:t>
      </w:r>
      <w:r w:rsidRPr="00ED5AD0">
        <w:t xml:space="preserve"> </w:t>
      </w:r>
      <w:r w:rsidR="00503085" w:rsidRPr="00ED5AD0">
        <w:t xml:space="preserve">local </w:t>
      </w:r>
      <w:r w:rsidRPr="00ED5AD0">
        <w:t xml:space="preserve">spinal column </w:t>
      </w:r>
      <w:proofErr w:type="gramStart"/>
      <w:r w:rsidRPr="00ED5AD0">
        <w:t>point</w:t>
      </w:r>
      <w:proofErr w:type="gramEnd"/>
      <w:r w:rsidRPr="00ED5AD0">
        <w:t xml:space="preserve"> </w:t>
      </w:r>
      <w:r w:rsidR="00503085" w:rsidRPr="00ED5AD0">
        <w:t>that forms part of the Chief Executive’s pay band</w:t>
      </w:r>
      <w:r w:rsidRPr="00ED5AD0">
        <w:t>”.</w:t>
      </w:r>
    </w:p>
    <w:p w14:paraId="05694C6C" w14:textId="77777777" w:rsidR="00F30599" w:rsidRPr="00ED5AD0" w:rsidRDefault="00F30599" w:rsidP="00F30599">
      <w:pPr>
        <w:ind w:left="709"/>
        <w:rPr>
          <w:b/>
        </w:rPr>
      </w:pPr>
    </w:p>
    <w:p w14:paraId="33A58BE6" w14:textId="77777777" w:rsidR="00F30599" w:rsidRPr="00ED5AD0" w:rsidRDefault="00F30599" w:rsidP="00A12001">
      <w:pPr>
        <w:ind w:left="360"/>
        <w:rPr>
          <w:b/>
        </w:rPr>
      </w:pPr>
      <w:r w:rsidRPr="00ED5AD0">
        <w:rPr>
          <w:b/>
        </w:rPr>
        <w:tab/>
      </w:r>
      <w:r w:rsidR="00D97252" w:rsidRPr="00ED5AD0">
        <w:rPr>
          <w:b/>
        </w:rPr>
        <w:t>4</w:t>
      </w:r>
      <w:r w:rsidR="00503085" w:rsidRPr="00ED5AD0">
        <w:rPr>
          <w:b/>
        </w:rPr>
        <w:t>.3.3 Relationship between highest and lowest pay</w:t>
      </w:r>
    </w:p>
    <w:p w14:paraId="70F4C706" w14:textId="77777777" w:rsidR="00503085" w:rsidRPr="00ED5AD0" w:rsidRDefault="00503085" w:rsidP="00503085">
      <w:pPr>
        <w:ind w:left="709"/>
      </w:pPr>
      <w:r w:rsidRPr="00ED5AD0">
        <w:t>When expressed as a multiplier of pay, the Chief Executive’s salary is:</w:t>
      </w:r>
    </w:p>
    <w:p w14:paraId="52FA3E54" w14:textId="77777777" w:rsidR="00B0605A" w:rsidRPr="00ED5AD0" w:rsidRDefault="00B0605A" w:rsidP="00B0605A">
      <w:pPr>
        <w:ind w:firstLine="709"/>
        <w:rPr>
          <w:rFonts w:cs="Arial"/>
          <w:szCs w:val="24"/>
        </w:rPr>
      </w:pPr>
    </w:p>
    <w:p w14:paraId="5FE008EA" w14:textId="562C87C9" w:rsidR="00503085" w:rsidRPr="00ED5AD0" w:rsidRDefault="007E502D" w:rsidP="006B6D20">
      <w:pPr>
        <w:ind w:left="720" w:firstLine="11"/>
      </w:pPr>
      <w:r w:rsidRPr="00ED5AD0">
        <w:t>5.</w:t>
      </w:r>
      <w:r w:rsidR="00A41D52">
        <w:t>2</w:t>
      </w:r>
      <w:r w:rsidR="00B0605A" w:rsidRPr="00ED5AD0">
        <w:t>8</w:t>
      </w:r>
      <w:r w:rsidR="00503085" w:rsidRPr="00ED5AD0">
        <w:t xml:space="preserve"> times greater than the lowest pay rate of the </w:t>
      </w:r>
      <w:r w:rsidR="000E48ED" w:rsidRPr="00ED5AD0">
        <w:t>Council</w:t>
      </w:r>
    </w:p>
    <w:p w14:paraId="40EB34CB" w14:textId="79CAAE1A" w:rsidR="00D02997" w:rsidRPr="00ED5AD0" w:rsidRDefault="00F0661F" w:rsidP="006B6D20">
      <w:pPr>
        <w:ind w:left="720" w:firstLine="11"/>
      </w:pPr>
      <w:r w:rsidRPr="00ED5AD0">
        <w:t>4.</w:t>
      </w:r>
      <w:r w:rsidR="00A41D52">
        <w:t>58</w:t>
      </w:r>
      <w:r w:rsidR="00D02997" w:rsidRPr="00ED5AD0">
        <w:t xml:space="preserve"> times greater than the median pay rate of the </w:t>
      </w:r>
      <w:r w:rsidR="000E48ED" w:rsidRPr="00ED5AD0">
        <w:t>Council</w:t>
      </w:r>
    </w:p>
    <w:p w14:paraId="44FE133E" w14:textId="056CB1D0" w:rsidR="00B0605A" w:rsidRDefault="00B0605A" w:rsidP="00B0605A">
      <w:pPr>
        <w:ind w:left="720" w:firstLine="11"/>
      </w:pPr>
      <w:r w:rsidRPr="00ED5AD0">
        <w:t>3.7</w:t>
      </w:r>
      <w:r w:rsidR="00A41D52">
        <w:t>7</w:t>
      </w:r>
      <w:r w:rsidRPr="00ED5AD0">
        <w:t xml:space="preserve"> times greater than the mean pay rate of the Council</w:t>
      </w:r>
    </w:p>
    <w:p w14:paraId="1A551D4D" w14:textId="77777777" w:rsidR="00FD57E1" w:rsidRPr="00ED5AD0" w:rsidRDefault="00FD57E1" w:rsidP="00D02997">
      <w:pPr>
        <w:ind w:left="1429" w:firstLine="11"/>
      </w:pPr>
    </w:p>
    <w:p w14:paraId="4E51C65F" w14:textId="1001B041" w:rsidR="00F23FEF" w:rsidRPr="00ED5AD0" w:rsidRDefault="00F23FEF" w:rsidP="00FD57E1">
      <w:pPr>
        <w:ind w:left="720" w:firstLine="11"/>
      </w:pPr>
      <w:r w:rsidRPr="00ED5AD0">
        <w:t>Although</w:t>
      </w:r>
      <w:r w:rsidR="0092332D" w:rsidRPr="00ED5AD0">
        <w:t xml:space="preserve"> </w:t>
      </w:r>
      <w:r w:rsidRPr="00ED5AD0">
        <w:t>the Localism Act</w:t>
      </w:r>
      <w:r w:rsidR="006B6D20" w:rsidRPr="00ED5AD0">
        <w:t xml:space="preserve"> requires Authorities to publish the data</w:t>
      </w:r>
      <w:r w:rsidRPr="00ED5AD0">
        <w:t xml:space="preserve">, the </w:t>
      </w:r>
      <w:r w:rsidR="0052624F" w:rsidRPr="00ED5AD0">
        <w:t xml:space="preserve">original </w:t>
      </w:r>
      <w:r w:rsidRPr="00ED5AD0">
        <w:t xml:space="preserve">Hutton Review of fair </w:t>
      </w:r>
      <w:proofErr w:type="spellStart"/>
      <w:r w:rsidRPr="00ED5AD0">
        <w:t>pay</w:t>
      </w:r>
      <w:proofErr w:type="spellEnd"/>
      <w:r w:rsidRPr="00ED5AD0">
        <w:t xml:space="preserve"> in the public sector rejected calls for a fixed limit on pay multiples.  However, to give guidance on what might </w:t>
      </w:r>
      <w:proofErr w:type="gramStart"/>
      <w:r w:rsidRPr="00ED5AD0">
        <w:t>be considered to be</w:t>
      </w:r>
      <w:proofErr w:type="gramEnd"/>
      <w:r w:rsidRPr="00ED5AD0">
        <w:t xml:space="preserve"> a reasonable pay multiple of highest pay against lowest pay, a ratio of 20:1 was suggested as part of the consultation during the review.</w:t>
      </w:r>
      <w:r w:rsidR="00164A4A" w:rsidRPr="00ED5AD0">
        <w:rPr>
          <w:lang w:val="en"/>
        </w:rPr>
        <w:t xml:space="preserve"> </w:t>
      </w:r>
      <w:r w:rsidR="00F0661F" w:rsidRPr="00ED5AD0">
        <w:rPr>
          <w:lang w:val="en"/>
        </w:rPr>
        <w:t>Clearly the council operates on ratios at a much lower level.</w:t>
      </w:r>
    </w:p>
    <w:p w14:paraId="32341B94" w14:textId="77777777" w:rsidR="00F23FEF" w:rsidRPr="00ED5AD0" w:rsidRDefault="00F23FEF" w:rsidP="00FD57E1">
      <w:pPr>
        <w:ind w:left="720" w:firstLine="11"/>
      </w:pPr>
    </w:p>
    <w:p w14:paraId="1412DA47" w14:textId="77777777" w:rsidR="008650B8" w:rsidRPr="00ED5AD0" w:rsidRDefault="00F23FEF" w:rsidP="00FD57E1">
      <w:pPr>
        <w:ind w:left="720" w:firstLine="11"/>
      </w:pPr>
      <w:r w:rsidRPr="00ED5AD0">
        <w:t xml:space="preserve">The </w:t>
      </w:r>
      <w:r w:rsidR="00105DF8" w:rsidRPr="00ED5AD0">
        <w:t xml:space="preserve">pay ratio of highest to lowest pay in the private sector is variable depending on the size and nature of the business although </w:t>
      </w:r>
      <w:r w:rsidR="006B7AA7" w:rsidRPr="00ED5AD0">
        <w:t xml:space="preserve">in </w:t>
      </w:r>
      <w:r w:rsidR="007E502D" w:rsidRPr="00ED5AD0">
        <w:t>2021, u</w:t>
      </w:r>
      <w:r w:rsidR="007E502D" w:rsidRPr="00ED5AD0">
        <w:rPr>
          <w:rFonts w:cs="Arial"/>
          <w:color w:val="333333"/>
          <w:sz w:val="26"/>
          <w:szCs w:val="26"/>
          <w:shd w:val="clear" w:color="auto" w:fill="FFFFFF"/>
        </w:rPr>
        <w:t>sing accreditation status from the Living Wage Foundation to estimate the pay of low earners, the High Pay Centre calculates the median CEO to lowest-paid worker ratio to be 117:1</w:t>
      </w:r>
      <w:r w:rsidR="00EF423D" w:rsidRPr="00ED5AD0">
        <w:t>.</w:t>
      </w:r>
      <w:r w:rsidR="00B07ED7" w:rsidRPr="00ED5AD0">
        <w:t xml:space="preserve"> In the voluntary </w:t>
      </w:r>
      <w:r w:rsidR="00334AB2" w:rsidRPr="00ED5AD0">
        <w:t xml:space="preserve">and public sectors then high to low pay ratios are traditionally much lower. </w:t>
      </w:r>
      <w:r w:rsidR="00B07ED7" w:rsidRPr="00ED5AD0">
        <w:rPr>
          <w:lang w:val="en"/>
        </w:rPr>
        <w:t xml:space="preserve">  </w:t>
      </w:r>
    </w:p>
    <w:p w14:paraId="324CA3A5" w14:textId="77777777" w:rsidR="008650B8" w:rsidRPr="00ED5AD0" w:rsidRDefault="008650B8" w:rsidP="00FD57E1">
      <w:pPr>
        <w:ind w:left="720" w:firstLine="11"/>
      </w:pPr>
    </w:p>
    <w:p w14:paraId="412EC037" w14:textId="77777777" w:rsidR="008650B8" w:rsidRPr="00ED5AD0" w:rsidRDefault="008650B8" w:rsidP="00FD57E1">
      <w:pPr>
        <w:ind w:left="720" w:firstLine="11"/>
      </w:pPr>
      <w:r w:rsidRPr="00ED5AD0">
        <w:t xml:space="preserve">The ratios within the </w:t>
      </w:r>
      <w:r w:rsidR="000E48ED" w:rsidRPr="00ED5AD0">
        <w:t>Council</w:t>
      </w:r>
      <w:r w:rsidRPr="00ED5AD0">
        <w:t xml:space="preserve">’s pay structures </w:t>
      </w:r>
      <w:r w:rsidR="00105DF8" w:rsidRPr="00ED5AD0">
        <w:t xml:space="preserve">are very much in line with other local councils of similar size and are certainly within the ranges outlined as being reasonable in the Hutton Review. </w:t>
      </w:r>
      <w:r w:rsidRPr="00ED5AD0">
        <w:t xml:space="preserve"> </w:t>
      </w:r>
    </w:p>
    <w:p w14:paraId="3990DE90" w14:textId="77777777" w:rsidR="008650B8" w:rsidRPr="00ED5AD0" w:rsidRDefault="008650B8" w:rsidP="00FD57E1">
      <w:pPr>
        <w:ind w:left="720" w:firstLine="11"/>
      </w:pPr>
    </w:p>
    <w:p w14:paraId="05B71953" w14:textId="77777777" w:rsidR="008650B8" w:rsidRPr="00ED5AD0" w:rsidRDefault="00FD57E1" w:rsidP="00FD57E1">
      <w:pPr>
        <w:ind w:left="720" w:firstLine="11"/>
      </w:pPr>
      <w:r w:rsidRPr="00ED5AD0">
        <w:t xml:space="preserve">This relationship will be reported annually for comparison purposes. </w:t>
      </w:r>
    </w:p>
    <w:p w14:paraId="5C5344EA" w14:textId="77777777" w:rsidR="008650B8" w:rsidRPr="00ED5AD0" w:rsidRDefault="008650B8" w:rsidP="00FD57E1">
      <w:pPr>
        <w:ind w:left="720" w:firstLine="11"/>
      </w:pPr>
    </w:p>
    <w:p w14:paraId="0187B4F4" w14:textId="77777777" w:rsidR="00F23FEF" w:rsidRPr="00ED5AD0" w:rsidRDefault="00FD57E1" w:rsidP="008650B8">
      <w:pPr>
        <w:ind w:left="720" w:firstLine="11"/>
        <w:rPr>
          <w:color w:val="000000"/>
        </w:rPr>
      </w:pPr>
      <w:r w:rsidRPr="00ED5AD0">
        <w:rPr>
          <w:color w:val="000000"/>
        </w:rPr>
        <w:t>The rates</w:t>
      </w:r>
      <w:r w:rsidR="008650B8" w:rsidRPr="00ED5AD0">
        <w:rPr>
          <w:color w:val="000000"/>
        </w:rPr>
        <w:t xml:space="preserve"> of for lowest, mean, median and highest pay </w:t>
      </w:r>
      <w:r w:rsidRPr="00ED5AD0">
        <w:rPr>
          <w:color w:val="000000"/>
        </w:rPr>
        <w:t xml:space="preserve">are included in the </w:t>
      </w:r>
      <w:r w:rsidR="004E4B98" w:rsidRPr="00ED5AD0">
        <w:rPr>
          <w:color w:val="000000"/>
        </w:rPr>
        <w:t xml:space="preserve">Executive Summary table. </w:t>
      </w:r>
      <w:r w:rsidR="003A0E32" w:rsidRPr="00ED5AD0">
        <w:rPr>
          <w:color w:val="000000"/>
        </w:rPr>
        <w:t xml:space="preserve"> </w:t>
      </w:r>
    </w:p>
    <w:p w14:paraId="4E35B65A" w14:textId="77777777" w:rsidR="00D02997" w:rsidRPr="00ED5AD0" w:rsidRDefault="00D02997" w:rsidP="00F23FEF">
      <w:pPr>
        <w:ind w:left="731" w:firstLine="11"/>
        <w:rPr>
          <w:color w:val="000000"/>
        </w:rPr>
      </w:pPr>
    </w:p>
    <w:p w14:paraId="7DA17FFF" w14:textId="77777777" w:rsidR="007E502D" w:rsidRPr="00ED5AD0" w:rsidRDefault="007E502D" w:rsidP="00F23FEF">
      <w:pPr>
        <w:ind w:left="731" w:firstLine="11"/>
        <w:rPr>
          <w:color w:val="000000"/>
        </w:rPr>
      </w:pPr>
    </w:p>
    <w:p w14:paraId="37B8551F" w14:textId="77777777" w:rsidR="007E502D" w:rsidRPr="00ED5AD0" w:rsidRDefault="007E502D" w:rsidP="00F23FEF">
      <w:pPr>
        <w:ind w:left="731" w:firstLine="11"/>
        <w:rPr>
          <w:color w:val="000000"/>
        </w:rPr>
      </w:pPr>
    </w:p>
    <w:p w14:paraId="35A646ED" w14:textId="77777777" w:rsidR="007E502D" w:rsidRPr="00ED5AD0" w:rsidRDefault="007E502D" w:rsidP="00F23FEF">
      <w:pPr>
        <w:ind w:left="731" w:firstLine="11"/>
        <w:rPr>
          <w:color w:val="000000"/>
        </w:rPr>
      </w:pPr>
    </w:p>
    <w:p w14:paraId="6AD857A4" w14:textId="77777777" w:rsidR="00F0661F" w:rsidRPr="00ED5AD0" w:rsidRDefault="00F0661F" w:rsidP="00F23FEF">
      <w:pPr>
        <w:ind w:left="731" w:firstLine="11"/>
        <w:rPr>
          <w:color w:val="000000"/>
        </w:rPr>
      </w:pPr>
    </w:p>
    <w:p w14:paraId="0E815A03" w14:textId="77777777" w:rsidR="00F0661F" w:rsidRPr="00ED5AD0" w:rsidRDefault="00F0661F" w:rsidP="00F23FEF">
      <w:pPr>
        <w:ind w:left="731" w:firstLine="11"/>
        <w:rPr>
          <w:color w:val="000000"/>
        </w:rPr>
      </w:pPr>
    </w:p>
    <w:p w14:paraId="46FBC292" w14:textId="77777777" w:rsidR="007E502D" w:rsidRPr="00ED5AD0" w:rsidRDefault="007E502D" w:rsidP="00F23FEF">
      <w:pPr>
        <w:ind w:left="731" w:firstLine="11"/>
        <w:rPr>
          <w:color w:val="000000"/>
        </w:rPr>
      </w:pPr>
    </w:p>
    <w:p w14:paraId="43643806" w14:textId="77777777" w:rsidR="00A12001" w:rsidRPr="00ED5AD0" w:rsidRDefault="00A12001" w:rsidP="00D32888">
      <w:pPr>
        <w:pStyle w:val="ListParagraph"/>
        <w:numPr>
          <w:ilvl w:val="1"/>
          <w:numId w:val="12"/>
        </w:numPr>
        <w:spacing w:after="0" w:line="240" w:lineRule="auto"/>
        <w:rPr>
          <w:rFonts w:cs="Arial"/>
          <w:b/>
          <w:szCs w:val="24"/>
        </w:rPr>
      </w:pPr>
      <w:r w:rsidRPr="00ED5AD0">
        <w:rPr>
          <w:rFonts w:cs="Arial"/>
          <w:b/>
          <w:szCs w:val="24"/>
        </w:rPr>
        <w:lastRenderedPageBreak/>
        <w:t xml:space="preserve"> Payments made to </w:t>
      </w:r>
      <w:r w:rsidR="00222CE1" w:rsidRPr="00ED5AD0">
        <w:rPr>
          <w:rFonts w:cs="Arial"/>
          <w:b/>
          <w:szCs w:val="24"/>
        </w:rPr>
        <w:t>Chief Officer</w:t>
      </w:r>
      <w:r w:rsidRPr="00ED5AD0">
        <w:rPr>
          <w:rFonts w:cs="Arial"/>
          <w:b/>
          <w:szCs w:val="24"/>
        </w:rPr>
        <w:t xml:space="preserve">s on ceasing </w:t>
      </w:r>
      <w:r w:rsidR="009D6400" w:rsidRPr="00ED5AD0">
        <w:rPr>
          <w:rFonts w:cs="Arial"/>
          <w:b/>
          <w:szCs w:val="24"/>
        </w:rPr>
        <w:t>o</w:t>
      </w:r>
      <w:r w:rsidRPr="00ED5AD0">
        <w:rPr>
          <w:rFonts w:cs="Arial"/>
          <w:b/>
          <w:szCs w:val="24"/>
        </w:rPr>
        <w:t>ffice</w:t>
      </w:r>
    </w:p>
    <w:p w14:paraId="76C627FA" w14:textId="77777777" w:rsidR="00D97252" w:rsidRPr="00ED5AD0" w:rsidRDefault="00D97252" w:rsidP="00D97252">
      <w:pPr>
        <w:pStyle w:val="ListParagraph"/>
        <w:spacing w:after="0" w:line="240" w:lineRule="auto"/>
        <w:rPr>
          <w:rFonts w:cs="Arial"/>
          <w:b/>
          <w:szCs w:val="24"/>
        </w:rPr>
      </w:pPr>
    </w:p>
    <w:p w14:paraId="2AF88DF2" w14:textId="77777777" w:rsidR="00A12001" w:rsidRPr="00ED5AD0" w:rsidRDefault="00A12001" w:rsidP="00D32888">
      <w:pPr>
        <w:pStyle w:val="ListParagraph"/>
        <w:numPr>
          <w:ilvl w:val="2"/>
          <w:numId w:val="12"/>
        </w:numPr>
        <w:spacing w:after="0" w:line="240" w:lineRule="auto"/>
        <w:rPr>
          <w:rFonts w:cs="Arial"/>
          <w:b/>
          <w:szCs w:val="24"/>
        </w:rPr>
      </w:pPr>
      <w:r w:rsidRPr="00ED5AD0">
        <w:rPr>
          <w:rFonts w:cs="Arial"/>
          <w:b/>
          <w:szCs w:val="24"/>
        </w:rPr>
        <w:t>Conduct and Capability Policies</w:t>
      </w:r>
    </w:p>
    <w:p w14:paraId="1C6A3497" w14:textId="77777777" w:rsidR="00C775F0" w:rsidRPr="00ED5AD0" w:rsidRDefault="00A12001" w:rsidP="00A12001">
      <w:pPr>
        <w:pStyle w:val="BodyText1"/>
        <w:ind w:left="709"/>
        <w:rPr>
          <w:rFonts w:cs="Arial"/>
          <w:color w:val="auto"/>
          <w:szCs w:val="24"/>
        </w:rPr>
      </w:pPr>
      <w:r w:rsidRPr="00ED5AD0">
        <w:rPr>
          <w:rFonts w:cs="Arial"/>
          <w:color w:val="auto"/>
          <w:szCs w:val="24"/>
        </w:rPr>
        <w:t>The Council’s policies are stated in the employee handbook</w:t>
      </w:r>
      <w:r w:rsidR="00C775F0" w:rsidRPr="00ED5AD0">
        <w:rPr>
          <w:rFonts w:cs="Arial"/>
          <w:color w:val="auto"/>
          <w:szCs w:val="24"/>
        </w:rPr>
        <w:t xml:space="preserve"> and where appropriate, also governed by the </w:t>
      </w:r>
      <w:r w:rsidR="000E48ED" w:rsidRPr="00ED5AD0">
        <w:rPr>
          <w:rFonts w:cs="Arial"/>
          <w:color w:val="auto"/>
          <w:szCs w:val="24"/>
        </w:rPr>
        <w:t>Council</w:t>
      </w:r>
      <w:r w:rsidR="00C775F0" w:rsidRPr="00ED5AD0">
        <w:rPr>
          <w:rFonts w:cs="Arial"/>
          <w:color w:val="auto"/>
          <w:szCs w:val="24"/>
        </w:rPr>
        <w:t xml:space="preserve"> </w:t>
      </w:r>
      <w:r w:rsidR="00AA6B31" w:rsidRPr="00ED5AD0">
        <w:rPr>
          <w:rFonts w:cs="Arial"/>
          <w:color w:val="auto"/>
          <w:szCs w:val="24"/>
        </w:rPr>
        <w:t>C</w:t>
      </w:r>
      <w:r w:rsidR="00C775F0" w:rsidRPr="00ED5AD0">
        <w:rPr>
          <w:rFonts w:cs="Arial"/>
          <w:color w:val="auto"/>
          <w:szCs w:val="24"/>
        </w:rPr>
        <w:t>onstitution</w:t>
      </w:r>
      <w:r w:rsidRPr="00ED5AD0">
        <w:rPr>
          <w:rFonts w:cs="Arial"/>
          <w:color w:val="auto"/>
          <w:szCs w:val="24"/>
        </w:rPr>
        <w:t>.</w:t>
      </w:r>
    </w:p>
    <w:p w14:paraId="317036C2" w14:textId="77777777" w:rsidR="00A12001" w:rsidRPr="00ED5AD0" w:rsidRDefault="00A12001" w:rsidP="00A12001">
      <w:pPr>
        <w:pStyle w:val="BodyText1"/>
        <w:ind w:left="709"/>
        <w:rPr>
          <w:rFonts w:cs="Arial"/>
          <w:color w:val="auto"/>
        </w:rPr>
      </w:pPr>
      <w:r w:rsidRPr="00ED5AD0">
        <w:rPr>
          <w:rFonts w:cs="Arial"/>
          <w:color w:val="auto"/>
          <w:szCs w:val="24"/>
        </w:rPr>
        <w:t xml:space="preserve">Changes and variation to these policies are made following consultation with </w:t>
      </w:r>
      <w:proofErr w:type="spellStart"/>
      <w:r w:rsidRPr="00ED5AD0">
        <w:rPr>
          <w:rFonts w:cs="Arial"/>
          <w:color w:val="auto"/>
          <w:szCs w:val="24"/>
        </w:rPr>
        <w:t>recognised</w:t>
      </w:r>
      <w:proofErr w:type="spellEnd"/>
      <w:r w:rsidRPr="00ED5AD0">
        <w:rPr>
          <w:rFonts w:cs="Arial"/>
          <w:color w:val="auto"/>
          <w:szCs w:val="24"/>
        </w:rPr>
        <w:t xml:space="preserve"> unions and formal adoption by the Appointments and Conditions of Service Committee.  For each of these policies, the scope of application is defined as follows, “</w:t>
      </w:r>
      <w:r w:rsidRPr="00ED5AD0">
        <w:rPr>
          <w:rFonts w:cs="Arial"/>
          <w:color w:val="auto"/>
        </w:rPr>
        <w:t xml:space="preserve">The procedure applies in general terms to all employees of the Authority covered by the terms of the National Joint </w:t>
      </w:r>
      <w:r w:rsidR="000E48ED" w:rsidRPr="00ED5AD0">
        <w:rPr>
          <w:rFonts w:cs="Arial"/>
          <w:color w:val="auto"/>
        </w:rPr>
        <w:t>Council</w:t>
      </w:r>
      <w:r w:rsidRPr="00ED5AD0">
        <w:rPr>
          <w:rFonts w:cs="Arial"/>
          <w:color w:val="auto"/>
        </w:rPr>
        <w:t xml:space="preserve"> for Local Government Services. This includes full and part-time employees and temporary employees. Employees covered by the Joint Negotiating Committees for </w:t>
      </w:r>
      <w:r w:rsidR="00222CE1" w:rsidRPr="00ED5AD0">
        <w:rPr>
          <w:rFonts w:cs="Arial"/>
          <w:color w:val="auto"/>
        </w:rPr>
        <w:t>Chief Officer</w:t>
      </w:r>
      <w:r w:rsidRPr="00ED5AD0">
        <w:rPr>
          <w:rFonts w:cs="Arial"/>
          <w:color w:val="auto"/>
        </w:rPr>
        <w:t xml:space="preserve">s and Chief Executives and posts nominated as the Council’s Monitoring and Section 151 Officers will have </w:t>
      </w:r>
      <w:proofErr w:type="gramStart"/>
      <w:r w:rsidRPr="00ED5AD0">
        <w:rPr>
          <w:rFonts w:cs="Arial"/>
          <w:color w:val="auto"/>
        </w:rPr>
        <w:t>particular provisions</w:t>
      </w:r>
      <w:proofErr w:type="gramEnd"/>
      <w:r w:rsidRPr="00ED5AD0">
        <w:rPr>
          <w:rFonts w:cs="Arial"/>
          <w:color w:val="auto"/>
        </w:rPr>
        <w:t xml:space="preserve"> applied to them under the Council’s Standing Orders </w:t>
      </w:r>
      <w:r w:rsidR="00C775F0" w:rsidRPr="00ED5AD0">
        <w:rPr>
          <w:rFonts w:cs="Arial"/>
          <w:color w:val="auto"/>
        </w:rPr>
        <w:t>r</w:t>
      </w:r>
      <w:r w:rsidRPr="00ED5AD0">
        <w:rPr>
          <w:rFonts w:cs="Arial"/>
          <w:color w:val="auto"/>
        </w:rPr>
        <w:t xml:space="preserve">elating to </w:t>
      </w:r>
      <w:r w:rsidR="00C775F0" w:rsidRPr="00ED5AD0">
        <w:rPr>
          <w:rFonts w:cs="Arial"/>
          <w:color w:val="auto"/>
        </w:rPr>
        <w:t>s</w:t>
      </w:r>
      <w:r w:rsidRPr="00ED5AD0">
        <w:rPr>
          <w:rFonts w:cs="Arial"/>
          <w:color w:val="auto"/>
        </w:rPr>
        <w:t>taff</w:t>
      </w:r>
      <w:r w:rsidR="00C775F0" w:rsidRPr="00ED5AD0">
        <w:rPr>
          <w:rFonts w:cs="Arial"/>
          <w:color w:val="auto"/>
        </w:rPr>
        <w:t xml:space="preserve"> [as detailed in the </w:t>
      </w:r>
      <w:r w:rsidR="000E48ED" w:rsidRPr="00ED5AD0">
        <w:rPr>
          <w:rFonts w:cs="Arial"/>
          <w:color w:val="auto"/>
        </w:rPr>
        <w:t>Council</w:t>
      </w:r>
      <w:r w:rsidR="00C775F0" w:rsidRPr="00ED5AD0">
        <w:rPr>
          <w:rFonts w:cs="Arial"/>
          <w:color w:val="auto"/>
        </w:rPr>
        <w:t xml:space="preserve"> </w:t>
      </w:r>
      <w:r w:rsidR="002B3D5C" w:rsidRPr="00ED5AD0">
        <w:rPr>
          <w:rFonts w:cs="Arial"/>
          <w:color w:val="auto"/>
        </w:rPr>
        <w:t>C</w:t>
      </w:r>
      <w:r w:rsidR="00C775F0" w:rsidRPr="00ED5AD0">
        <w:rPr>
          <w:rFonts w:cs="Arial"/>
          <w:color w:val="auto"/>
        </w:rPr>
        <w:t>onstitution and available through the Gedling Borough Council web site]</w:t>
      </w:r>
      <w:r w:rsidRPr="00ED5AD0">
        <w:rPr>
          <w:rFonts w:cs="Arial"/>
          <w:color w:val="auto"/>
        </w:rPr>
        <w:t>.  In these cases, this Disciplinary and Capability Procedures will be applied as closely as possible subject to such modification as may be required pursuant to those Standing Orders.</w:t>
      </w:r>
      <w:r w:rsidR="003A3C2B" w:rsidRPr="00ED5AD0">
        <w:rPr>
          <w:rFonts w:cs="Arial"/>
          <w:color w:val="auto"/>
        </w:rPr>
        <w:t>”</w:t>
      </w:r>
    </w:p>
    <w:p w14:paraId="38F18944" w14:textId="77777777" w:rsidR="00825A79" w:rsidRPr="00ED5AD0" w:rsidRDefault="003A3C2B" w:rsidP="00A12001">
      <w:pPr>
        <w:pStyle w:val="BodyText1"/>
        <w:ind w:left="709"/>
        <w:rPr>
          <w:rFonts w:cs="Arial"/>
          <w:color w:val="auto"/>
        </w:rPr>
      </w:pPr>
      <w:r w:rsidRPr="00ED5AD0">
        <w:rPr>
          <w:rFonts w:cs="Arial"/>
          <w:color w:val="auto"/>
        </w:rPr>
        <w:t>Subject to the above definition of application, for conduct and capability dismissals all employees will receive only statutory payments due which may, depending on circumstance include notice pay (other than in cases of gross misconduct) and outstanding untaken leave entitlement.</w:t>
      </w:r>
      <w:r w:rsidR="0052624F" w:rsidRPr="00ED5AD0">
        <w:rPr>
          <w:rFonts w:cs="Arial"/>
          <w:color w:val="auto"/>
        </w:rPr>
        <w:t xml:space="preserve">  </w:t>
      </w:r>
    </w:p>
    <w:p w14:paraId="252BD8E9" w14:textId="77777777" w:rsidR="0052624F" w:rsidRPr="00ED5AD0" w:rsidRDefault="0052624F" w:rsidP="00A12001">
      <w:pPr>
        <w:pStyle w:val="BodyText1"/>
        <w:ind w:left="709"/>
        <w:rPr>
          <w:rFonts w:cs="Arial"/>
        </w:rPr>
      </w:pPr>
    </w:p>
    <w:p w14:paraId="1E2D2901" w14:textId="77777777" w:rsidR="003A3C2B" w:rsidRPr="00ED5AD0" w:rsidRDefault="003A3C2B" w:rsidP="00D32888">
      <w:pPr>
        <w:pStyle w:val="BodyText1"/>
        <w:numPr>
          <w:ilvl w:val="2"/>
          <w:numId w:val="12"/>
        </w:numPr>
        <w:spacing w:after="0"/>
        <w:rPr>
          <w:rFonts w:cs="Arial"/>
          <w:b/>
        </w:rPr>
      </w:pPr>
      <w:r w:rsidRPr="00ED5AD0">
        <w:rPr>
          <w:rFonts w:cs="Arial"/>
          <w:b/>
        </w:rPr>
        <w:t>Ill health retirement</w:t>
      </w:r>
    </w:p>
    <w:p w14:paraId="458AD458" w14:textId="77777777" w:rsidR="003A3C2B" w:rsidRPr="00ED5AD0" w:rsidRDefault="003A3C2B" w:rsidP="003A3C2B">
      <w:pPr>
        <w:pStyle w:val="BodyText1"/>
        <w:spacing w:after="0"/>
        <w:ind w:left="720"/>
        <w:rPr>
          <w:rFonts w:cs="Arial"/>
        </w:rPr>
      </w:pPr>
      <w:r w:rsidRPr="00ED5AD0">
        <w:rPr>
          <w:rFonts w:cs="Arial"/>
        </w:rPr>
        <w:t xml:space="preserve">All employees who are members of the local government pension scheme (LGPS) shall have applied to them a pension defined within the LGPS Regulations.  Obligations under law requiring the payment of an appropriate notice period or outstanding unpaid holidays are </w:t>
      </w:r>
      <w:r w:rsidRPr="00ED5AD0">
        <w:rPr>
          <w:rFonts w:cs="Arial"/>
          <w:lang w:val="en-GB"/>
        </w:rPr>
        <w:t>honoured</w:t>
      </w:r>
      <w:r w:rsidRPr="00ED5AD0">
        <w:rPr>
          <w:rFonts w:cs="Arial"/>
        </w:rPr>
        <w:t xml:space="preserve">. No additional discretionary payments will be made. </w:t>
      </w:r>
      <w:r w:rsidRPr="00ED5AD0">
        <w:rPr>
          <w:rFonts w:cs="Arial"/>
          <w:b/>
        </w:rPr>
        <w:t xml:space="preserve"> </w:t>
      </w:r>
      <w:r w:rsidRPr="00ED5AD0">
        <w:rPr>
          <w:rFonts w:cs="Arial"/>
        </w:rPr>
        <w:t>Authority to dismiss on grounds of ill health and authority for release of pension as determined within statute is delegated to the Chief Executive.</w:t>
      </w:r>
    </w:p>
    <w:p w14:paraId="7A010AA8" w14:textId="77777777" w:rsidR="00AB250F" w:rsidRPr="00ED5AD0" w:rsidRDefault="00AB250F" w:rsidP="003A3C2B">
      <w:pPr>
        <w:pStyle w:val="BodyText1"/>
        <w:spacing w:after="0"/>
        <w:ind w:left="720"/>
        <w:rPr>
          <w:rFonts w:cs="Arial"/>
        </w:rPr>
      </w:pPr>
    </w:p>
    <w:p w14:paraId="1502D54E" w14:textId="77777777" w:rsidR="004C0085" w:rsidRPr="00ED5AD0" w:rsidRDefault="004C0085" w:rsidP="00D32888">
      <w:pPr>
        <w:pStyle w:val="BodyText1"/>
        <w:numPr>
          <w:ilvl w:val="2"/>
          <w:numId w:val="12"/>
        </w:numPr>
        <w:spacing w:after="0"/>
        <w:ind w:left="709" w:firstLine="11"/>
        <w:rPr>
          <w:rFonts w:cs="Arial"/>
          <w:b/>
        </w:rPr>
      </w:pPr>
      <w:r w:rsidRPr="00ED5AD0">
        <w:rPr>
          <w:rFonts w:cs="Arial"/>
          <w:b/>
        </w:rPr>
        <w:t>Termination of employment; Redundancy</w:t>
      </w:r>
      <w:r w:rsidR="00BC6C2A" w:rsidRPr="00ED5AD0">
        <w:rPr>
          <w:rFonts w:cs="Arial"/>
          <w:b/>
        </w:rPr>
        <w:t>,</w:t>
      </w:r>
      <w:r w:rsidRPr="00ED5AD0">
        <w:rPr>
          <w:rFonts w:cs="Arial"/>
          <w:b/>
        </w:rPr>
        <w:t xml:space="preserve"> </w:t>
      </w:r>
      <w:r w:rsidR="00BC6C2A" w:rsidRPr="00ED5AD0">
        <w:rPr>
          <w:rFonts w:cs="Arial"/>
          <w:b/>
        </w:rPr>
        <w:t>e</w:t>
      </w:r>
      <w:r w:rsidRPr="00ED5AD0">
        <w:rPr>
          <w:rFonts w:cs="Arial"/>
          <w:b/>
        </w:rPr>
        <w:t>fficiency</w:t>
      </w:r>
      <w:r w:rsidR="00BC6C2A" w:rsidRPr="00ED5AD0">
        <w:rPr>
          <w:rFonts w:cs="Arial"/>
          <w:b/>
        </w:rPr>
        <w:t xml:space="preserve"> and general pension discretions</w:t>
      </w:r>
    </w:p>
    <w:p w14:paraId="28BDD7FF" w14:textId="0FE1D3A9" w:rsidR="00685108" w:rsidRPr="00ED5AD0" w:rsidRDefault="003A209D" w:rsidP="004C0085">
      <w:pPr>
        <w:pStyle w:val="BodyText1"/>
        <w:spacing w:after="0"/>
        <w:ind w:left="709"/>
        <w:rPr>
          <w:rFonts w:cs="Arial"/>
        </w:rPr>
      </w:pPr>
      <w:r w:rsidRPr="00ED5AD0">
        <w:rPr>
          <w:rFonts w:cs="Arial"/>
        </w:rPr>
        <w:t>The Council’s Appeals and Retirements Committee ha</w:t>
      </w:r>
      <w:r w:rsidR="00685108" w:rsidRPr="00ED5AD0">
        <w:rPr>
          <w:rFonts w:cs="Arial"/>
        </w:rPr>
        <w:t>s</w:t>
      </w:r>
      <w:r w:rsidRPr="00ED5AD0">
        <w:rPr>
          <w:rFonts w:cs="Arial"/>
        </w:rPr>
        <w:t xml:space="preserve"> authority to make payment within the approved Early Retirement and Redundancy Policy </w:t>
      </w:r>
      <w:r w:rsidRPr="00ED5AD0">
        <w:rPr>
          <w:rFonts w:cs="Arial"/>
          <w:b/>
          <w:bCs/>
        </w:rPr>
        <w:t xml:space="preserve">(Appendix </w:t>
      </w:r>
      <w:r w:rsidR="0013700C" w:rsidRPr="00ED5AD0">
        <w:rPr>
          <w:rFonts w:cs="Arial"/>
          <w:b/>
          <w:bCs/>
        </w:rPr>
        <w:t>K</w:t>
      </w:r>
      <w:r w:rsidRPr="00ED5AD0">
        <w:rPr>
          <w:rFonts w:cs="Arial"/>
          <w:b/>
          <w:bCs/>
        </w:rPr>
        <w:t>)</w:t>
      </w:r>
      <w:r w:rsidR="00685108" w:rsidRPr="00ED5AD0">
        <w:rPr>
          <w:rFonts w:cs="Arial"/>
          <w:b/>
          <w:bCs/>
        </w:rPr>
        <w:t>.</w:t>
      </w:r>
      <w:r w:rsidR="00685108" w:rsidRPr="00ED5AD0">
        <w:rPr>
          <w:rFonts w:cs="Arial"/>
        </w:rPr>
        <w:t xml:space="preserve">  The scheme of compensatory payment is clearly identified in this policy and is based on the table of compensation defined within the Employment Rights Act 1996.  </w:t>
      </w:r>
      <w:r w:rsidR="00BC6C2A" w:rsidRPr="00ED5AD0">
        <w:rPr>
          <w:rFonts w:cs="Arial"/>
        </w:rPr>
        <w:t>Under this local policy, f</w:t>
      </w:r>
      <w:r w:rsidR="00685108" w:rsidRPr="00ED5AD0">
        <w:rPr>
          <w:rFonts w:cs="Arial"/>
        </w:rPr>
        <w:t>or redundancy, payment</w:t>
      </w:r>
      <w:r w:rsidR="004A2E13" w:rsidRPr="00ED5AD0">
        <w:rPr>
          <w:rFonts w:cs="Arial"/>
        </w:rPr>
        <w:t xml:space="preserve"> including both statutory and discretionary payments</w:t>
      </w:r>
      <w:r w:rsidR="00685108" w:rsidRPr="00ED5AD0">
        <w:rPr>
          <w:rFonts w:cs="Arial"/>
        </w:rPr>
        <w:t xml:space="preserve"> is limited to a maximum of </w:t>
      </w:r>
      <w:r w:rsidR="002264FF" w:rsidRPr="00ED5AD0">
        <w:rPr>
          <w:rFonts w:cs="Arial"/>
        </w:rPr>
        <w:t>3</w:t>
      </w:r>
      <w:r w:rsidR="00FD35BC" w:rsidRPr="00ED5AD0">
        <w:rPr>
          <w:rFonts w:cs="Arial"/>
        </w:rPr>
        <w:t>0</w:t>
      </w:r>
      <w:r w:rsidR="00685108" w:rsidRPr="00ED5AD0">
        <w:rPr>
          <w:rFonts w:cs="Arial"/>
        </w:rPr>
        <w:t xml:space="preserve"> weeks’ pay and </w:t>
      </w:r>
      <w:r w:rsidR="00FD35BC" w:rsidRPr="00ED5AD0">
        <w:rPr>
          <w:rFonts w:cs="Arial"/>
        </w:rPr>
        <w:t>nine</w:t>
      </w:r>
      <w:r w:rsidR="00685108" w:rsidRPr="00ED5AD0">
        <w:rPr>
          <w:rFonts w:cs="Arial"/>
        </w:rPr>
        <w:t xml:space="preserve"> weeks’ pay for dismissal for reason of ‘efficiency of service’.  </w:t>
      </w:r>
    </w:p>
    <w:p w14:paraId="16141021" w14:textId="77777777" w:rsidR="00685108" w:rsidRPr="00ED5AD0" w:rsidRDefault="00685108" w:rsidP="004C0085">
      <w:pPr>
        <w:pStyle w:val="BodyText1"/>
        <w:spacing w:after="0"/>
        <w:ind w:left="709"/>
        <w:rPr>
          <w:rFonts w:cs="Arial"/>
        </w:rPr>
      </w:pPr>
    </w:p>
    <w:p w14:paraId="1ABB8833" w14:textId="77777777" w:rsidR="00685108" w:rsidRPr="00ED5AD0" w:rsidRDefault="00685108" w:rsidP="004C0085">
      <w:pPr>
        <w:pStyle w:val="BodyText1"/>
        <w:spacing w:after="0"/>
        <w:ind w:left="709"/>
        <w:rPr>
          <w:rFonts w:cs="Arial"/>
        </w:rPr>
      </w:pPr>
      <w:r w:rsidRPr="00ED5AD0">
        <w:rPr>
          <w:rFonts w:cs="Arial"/>
        </w:rPr>
        <w:t xml:space="preserve">The policies relating to redundancy and ‘efficiency of service’ are formally adopted by the Council and are drafted within the </w:t>
      </w:r>
      <w:r w:rsidR="009D6400" w:rsidRPr="00ED5AD0">
        <w:rPr>
          <w:rFonts w:cs="Arial"/>
        </w:rPr>
        <w:t xml:space="preserve">legislative framework of the Local Government (Early Termination of </w:t>
      </w:r>
      <w:proofErr w:type="gramStart"/>
      <w:r w:rsidR="009D6400" w:rsidRPr="00ED5AD0">
        <w:rPr>
          <w:rFonts w:cs="Arial"/>
        </w:rPr>
        <w:t>Employment)(</w:t>
      </w:r>
      <w:proofErr w:type="gramEnd"/>
      <w:r w:rsidR="009D6400" w:rsidRPr="00ED5AD0">
        <w:rPr>
          <w:rFonts w:cs="Arial"/>
        </w:rPr>
        <w:t>Discretionary Payments) (England and Wales) Regulations 2006.  Specifically, the policies reflect the need to define “a week’s pay” and</w:t>
      </w:r>
      <w:r w:rsidR="00011498" w:rsidRPr="00ED5AD0">
        <w:rPr>
          <w:rFonts w:cs="Arial"/>
        </w:rPr>
        <w:t xml:space="preserve"> to detail</w:t>
      </w:r>
      <w:r w:rsidR="009D6400" w:rsidRPr="00ED5AD0">
        <w:rPr>
          <w:rFonts w:cs="Arial"/>
        </w:rPr>
        <w:t xml:space="preserve"> the </w:t>
      </w:r>
      <w:r w:rsidR="00011498" w:rsidRPr="00ED5AD0">
        <w:rPr>
          <w:rFonts w:cs="Arial"/>
        </w:rPr>
        <w:t xml:space="preserve">Council’s </w:t>
      </w:r>
      <w:r w:rsidR="009D6400" w:rsidRPr="00ED5AD0">
        <w:rPr>
          <w:rFonts w:cs="Arial"/>
        </w:rPr>
        <w:t>severance payment</w:t>
      </w:r>
      <w:r w:rsidR="00011498" w:rsidRPr="00ED5AD0">
        <w:rPr>
          <w:rFonts w:cs="Arial"/>
        </w:rPr>
        <w:t>s</w:t>
      </w:r>
      <w:r w:rsidR="009D6400" w:rsidRPr="00ED5AD0">
        <w:rPr>
          <w:rFonts w:cs="Arial"/>
        </w:rPr>
        <w:t>.  For removal of doubt, the Council currently defines “a week’s pay” for the purpose of calculation of compensatory redundancy payments as “actual pay” rather than the statutory maximum figure.</w:t>
      </w:r>
      <w:r w:rsidR="00BC6C2A" w:rsidRPr="00ED5AD0">
        <w:rPr>
          <w:rFonts w:cs="Arial"/>
        </w:rPr>
        <w:t xml:space="preserve">  </w:t>
      </w:r>
    </w:p>
    <w:p w14:paraId="2764C793" w14:textId="77777777" w:rsidR="00685108" w:rsidRPr="00ED5AD0" w:rsidRDefault="00685108" w:rsidP="004C0085">
      <w:pPr>
        <w:pStyle w:val="BodyText1"/>
        <w:spacing w:after="0"/>
        <w:ind w:left="709"/>
        <w:rPr>
          <w:rFonts w:cs="Arial"/>
        </w:rPr>
      </w:pPr>
    </w:p>
    <w:p w14:paraId="60490AF9" w14:textId="77777777" w:rsidR="00BC6C2A" w:rsidRPr="00ED5AD0" w:rsidRDefault="00BC6C2A" w:rsidP="00BC6C2A">
      <w:pPr>
        <w:pStyle w:val="BodyText1"/>
        <w:ind w:left="709"/>
        <w:rPr>
          <w:rFonts w:cs="Arial"/>
          <w:lang w:val="en-GB"/>
        </w:rPr>
      </w:pPr>
      <w:r w:rsidRPr="00ED5AD0">
        <w:rPr>
          <w:rFonts w:cs="Arial"/>
          <w:lang w:val="en-GB"/>
        </w:rPr>
        <w:t xml:space="preserve">Access to the full set of local pension discretions required under Regulation 60(5) of the LGPS 2013 are shown on the </w:t>
      </w:r>
      <w:r w:rsidR="000E48ED" w:rsidRPr="00ED5AD0">
        <w:rPr>
          <w:rFonts w:cs="Arial"/>
          <w:lang w:val="en-GB"/>
        </w:rPr>
        <w:t>Council</w:t>
      </w:r>
      <w:r w:rsidRPr="00ED5AD0">
        <w:rPr>
          <w:rFonts w:cs="Arial"/>
          <w:lang w:val="en-GB"/>
        </w:rPr>
        <w:t xml:space="preserve">’s website under the “How we work” section at </w:t>
      </w:r>
      <w:hyperlink r:id="rId15" w:history="1">
        <w:r w:rsidR="00581587" w:rsidRPr="00ED5AD0">
          <w:rPr>
            <w:rStyle w:val="Hyperlink"/>
          </w:rPr>
          <w:t>https://www.gedling.gov.uk/media/gedlingboroughcouncil/documents/council/aboutus/policies/Pension%20Discretions%20Policy%20(July%202019).pdf</w:t>
        </w:r>
      </w:hyperlink>
    </w:p>
    <w:p w14:paraId="6D36D19D" w14:textId="77777777" w:rsidR="00BC6C2A" w:rsidRPr="00ED5AD0" w:rsidRDefault="00BC6C2A" w:rsidP="00BC6C2A">
      <w:pPr>
        <w:pStyle w:val="BodyText1"/>
        <w:ind w:left="709"/>
        <w:rPr>
          <w:rFonts w:cs="Arial"/>
        </w:rPr>
      </w:pPr>
      <w:r w:rsidRPr="00ED5AD0">
        <w:rPr>
          <w:rFonts w:cs="Arial"/>
          <w:lang w:val="en-GB"/>
        </w:rPr>
        <w:t xml:space="preserve">These discretions were approved as formal policy of the </w:t>
      </w:r>
      <w:r w:rsidR="000E48ED" w:rsidRPr="00ED5AD0">
        <w:rPr>
          <w:rFonts w:cs="Arial"/>
          <w:lang w:val="en-GB"/>
        </w:rPr>
        <w:t>Council</w:t>
      </w:r>
      <w:r w:rsidRPr="00ED5AD0">
        <w:rPr>
          <w:rFonts w:cs="Arial"/>
          <w:lang w:val="en-GB"/>
        </w:rPr>
        <w:t xml:space="preserve"> by the Appointments and Conditions of Service Committee in March 2015 </w:t>
      </w:r>
      <w:r w:rsidR="00581587" w:rsidRPr="00ED5AD0">
        <w:rPr>
          <w:rFonts w:cs="Arial"/>
          <w:lang w:val="en-GB"/>
        </w:rPr>
        <w:t xml:space="preserve">and subsequently updated in July 2019 </w:t>
      </w:r>
      <w:r w:rsidRPr="00ED5AD0">
        <w:rPr>
          <w:rFonts w:cs="Arial"/>
          <w:lang w:val="en-GB"/>
        </w:rPr>
        <w:t xml:space="preserve">and detail the full range of policy decisions made that relate to payment of, or limitation to payment of pension benefits applicable to any employee.  </w:t>
      </w:r>
    </w:p>
    <w:p w14:paraId="6B146819" w14:textId="56273561" w:rsidR="004C0085" w:rsidRPr="00ED5AD0" w:rsidRDefault="00685108" w:rsidP="004C0085">
      <w:pPr>
        <w:pStyle w:val="BodyText1"/>
        <w:spacing w:after="0"/>
        <w:ind w:left="709"/>
        <w:rPr>
          <w:rFonts w:cs="Arial"/>
        </w:rPr>
      </w:pPr>
      <w:r w:rsidRPr="00ED5AD0">
        <w:rPr>
          <w:rFonts w:cs="Arial"/>
        </w:rPr>
        <w:t xml:space="preserve">The Council’s Flexible Retirement Policy is shown at </w:t>
      </w:r>
      <w:r w:rsidR="0005155F" w:rsidRPr="00ED5AD0">
        <w:rPr>
          <w:rFonts w:cs="Arial"/>
          <w:b/>
          <w:bCs/>
        </w:rPr>
        <w:t xml:space="preserve">Appendix </w:t>
      </w:r>
      <w:r w:rsidR="00586BA4" w:rsidRPr="00ED5AD0">
        <w:rPr>
          <w:rFonts w:cs="Arial"/>
          <w:b/>
          <w:bCs/>
        </w:rPr>
        <w:t>L</w:t>
      </w:r>
      <w:r w:rsidR="00586BA4" w:rsidRPr="00ED5AD0">
        <w:rPr>
          <w:rFonts w:cs="Arial"/>
        </w:rPr>
        <w:t>.</w:t>
      </w:r>
      <w:r w:rsidRPr="00ED5AD0">
        <w:rPr>
          <w:rFonts w:cs="Arial"/>
        </w:rPr>
        <w:t xml:space="preserve">   </w:t>
      </w:r>
    </w:p>
    <w:p w14:paraId="08EA6EDD" w14:textId="77777777" w:rsidR="00685108" w:rsidRPr="00ED5AD0" w:rsidRDefault="00685108" w:rsidP="004C0085">
      <w:pPr>
        <w:pStyle w:val="BodyText1"/>
        <w:spacing w:after="0"/>
        <w:ind w:left="709"/>
        <w:rPr>
          <w:rFonts w:cs="Arial"/>
        </w:rPr>
      </w:pPr>
    </w:p>
    <w:p w14:paraId="24ABB76E" w14:textId="168C85C6" w:rsidR="0052624F" w:rsidRPr="00ED5AD0" w:rsidRDefault="00685108" w:rsidP="0052624F">
      <w:pPr>
        <w:pStyle w:val="BodyText1"/>
        <w:ind w:left="709"/>
        <w:rPr>
          <w:rFonts w:cs="Arial"/>
          <w:color w:val="FF0000"/>
        </w:rPr>
      </w:pPr>
      <w:r w:rsidRPr="00ED5AD0">
        <w:rPr>
          <w:rFonts w:cs="Arial"/>
        </w:rPr>
        <w:t xml:space="preserve">All employees, including </w:t>
      </w:r>
      <w:r w:rsidR="00222CE1" w:rsidRPr="00ED5AD0">
        <w:rPr>
          <w:rFonts w:cs="Arial"/>
        </w:rPr>
        <w:t>Chief Officer</w:t>
      </w:r>
      <w:r w:rsidRPr="00ED5AD0">
        <w:rPr>
          <w:rFonts w:cs="Arial"/>
        </w:rPr>
        <w:t xml:space="preserve">s are covered by these </w:t>
      </w:r>
      <w:r w:rsidR="0052624F" w:rsidRPr="00ED5AD0">
        <w:rPr>
          <w:rFonts w:cs="Arial"/>
        </w:rPr>
        <w:t xml:space="preserve">general </w:t>
      </w:r>
      <w:r w:rsidRPr="00ED5AD0">
        <w:rPr>
          <w:rFonts w:cs="Arial"/>
        </w:rPr>
        <w:t xml:space="preserve">policy </w:t>
      </w:r>
      <w:r w:rsidRPr="00ED5AD0">
        <w:rPr>
          <w:rFonts w:cs="Arial"/>
          <w:color w:val="auto"/>
        </w:rPr>
        <w:t xml:space="preserve">arrangements. </w:t>
      </w:r>
      <w:r w:rsidR="0052624F" w:rsidRPr="00ED5AD0">
        <w:rPr>
          <w:rFonts w:cs="Arial"/>
          <w:color w:val="auto"/>
        </w:rPr>
        <w:t>Section</w:t>
      </w:r>
      <w:r w:rsidR="00715336" w:rsidRPr="00ED5AD0">
        <w:rPr>
          <w:rFonts w:cs="Arial"/>
          <w:color w:val="auto"/>
        </w:rPr>
        <w:t>s</w:t>
      </w:r>
      <w:r w:rsidR="0052624F" w:rsidRPr="00ED5AD0">
        <w:rPr>
          <w:rFonts w:cs="Arial"/>
          <w:color w:val="auto"/>
        </w:rPr>
        <w:t xml:space="preserve"> 3.</w:t>
      </w:r>
      <w:r w:rsidR="004A2E13" w:rsidRPr="00ED5AD0">
        <w:rPr>
          <w:rFonts w:cs="Arial"/>
          <w:color w:val="auto"/>
        </w:rPr>
        <w:t>2.10-11</w:t>
      </w:r>
      <w:r w:rsidR="0052624F" w:rsidRPr="00ED5AD0">
        <w:rPr>
          <w:rFonts w:cs="Arial"/>
          <w:color w:val="auto"/>
        </w:rPr>
        <w:t xml:space="preserve"> </w:t>
      </w:r>
      <w:r w:rsidR="004A2E13" w:rsidRPr="00ED5AD0">
        <w:rPr>
          <w:rFonts w:cs="Arial"/>
          <w:color w:val="auto"/>
        </w:rPr>
        <w:t>above</w:t>
      </w:r>
      <w:r w:rsidR="00FD35BC" w:rsidRPr="00ED5AD0">
        <w:rPr>
          <w:rFonts w:cs="Arial"/>
          <w:color w:val="auto"/>
        </w:rPr>
        <w:t>,</w:t>
      </w:r>
      <w:r w:rsidR="004A2E13" w:rsidRPr="00ED5AD0">
        <w:rPr>
          <w:rFonts w:cs="Arial"/>
          <w:color w:val="auto"/>
        </w:rPr>
        <w:t xml:space="preserve"> </w:t>
      </w:r>
      <w:r w:rsidR="0052624F" w:rsidRPr="00ED5AD0">
        <w:rPr>
          <w:rFonts w:cs="Arial"/>
          <w:color w:val="auto"/>
        </w:rPr>
        <w:t>detail the special arrangement</w:t>
      </w:r>
      <w:r w:rsidR="004A2E13" w:rsidRPr="00ED5AD0">
        <w:rPr>
          <w:rFonts w:cs="Arial"/>
          <w:color w:val="auto"/>
        </w:rPr>
        <w:t>s</w:t>
      </w:r>
      <w:r w:rsidR="0052624F" w:rsidRPr="00ED5AD0">
        <w:rPr>
          <w:rFonts w:cs="Arial"/>
          <w:color w:val="auto"/>
        </w:rPr>
        <w:t xml:space="preserve"> applying to “senior posts” </w:t>
      </w:r>
      <w:r w:rsidR="004A2E13" w:rsidRPr="00ED5AD0">
        <w:rPr>
          <w:rFonts w:cs="Arial"/>
          <w:color w:val="auto"/>
        </w:rPr>
        <w:t xml:space="preserve">both </w:t>
      </w:r>
      <w:r w:rsidR="0052624F" w:rsidRPr="00ED5AD0">
        <w:rPr>
          <w:rFonts w:cs="Arial"/>
          <w:color w:val="auto"/>
        </w:rPr>
        <w:t>in respect to appointment and</w:t>
      </w:r>
      <w:r w:rsidR="004A2E13" w:rsidRPr="00ED5AD0">
        <w:rPr>
          <w:rFonts w:cs="Arial"/>
          <w:color w:val="auto"/>
        </w:rPr>
        <w:t xml:space="preserve"> dismissal</w:t>
      </w:r>
      <w:r w:rsidR="0052624F" w:rsidRPr="00ED5AD0">
        <w:rPr>
          <w:rFonts w:cs="Arial"/>
          <w:color w:val="auto"/>
        </w:rPr>
        <w:t>.</w:t>
      </w:r>
      <w:r w:rsidR="0052624F" w:rsidRPr="00ED5AD0">
        <w:rPr>
          <w:rFonts w:cs="Arial"/>
          <w:color w:val="FF0000"/>
        </w:rPr>
        <w:t xml:space="preserve"> </w:t>
      </w:r>
      <w:r w:rsidR="00BC6C2A" w:rsidRPr="00ED5AD0">
        <w:rPr>
          <w:rFonts w:cs="Arial"/>
          <w:color w:val="FF0000"/>
        </w:rPr>
        <w:t xml:space="preserve"> </w:t>
      </w:r>
    </w:p>
    <w:p w14:paraId="23EE6B1D" w14:textId="0C900EC1" w:rsidR="00B27963" w:rsidRPr="00ED5AD0" w:rsidRDefault="00B27963" w:rsidP="0052624F">
      <w:pPr>
        <w:pStyle w:val="BodyText1"/>
        <w:ind w:left="709"/>
        <w:rPr>
          <w:rFonts w:cs="Arial"/>
          <w:color w:val="FF0000"/>
        </w:rPr>
      </w:pPr>
    </w:p>
    <w:p w14:paraId="0D92C614" w14:textId="649E3005" w:rsidR="00B27963" w:rsidRPr="00ED5AD0" w:rsidRDefault="00B27963" w:rsidP="0052624F">
      <w:pPr>
        <w:pStyle w:val="BodyText1"/>
        <w:ind w:left="709"/>
        <w:rPr>
          <w:rFonts w:cs="Arial"/>
          <w:color w:val="auto"/>
        </w:rPr>
      </w:pPr>
      <w:r w:rsidRPr="00ED5AD0">
        <w:rPr>
          <w:rFonts w:cs="Arial"/>
          <w:color w:val="auto"/>
        </w:rPr>
        <w:t>The policy relating to Special Severance Payments is detailed at Appendix ix of the Pay Policy Statement.</w:t>
      </w:r>
    </w:p>
    <w:p w14:paraId="6AA8B1B4" w14:textId="77777777" w:rsidR="004C0085" w:rsidRPr="00ED5AD0" w:rsidRDefault="004C0085" w:rsidP="004C0085">
      <w:pPr>
        <w:pStyle w:val="BodyText1"/>
        <w:spacing w:after="0"/>
        <w:ind w:left="1440"/>
        <w:rPr>
          <w:rFonts w:cs="Arial"/>
          <w:b/>
        </w:rPr>
      </w:pPr>
    </w:p>
    <w:p w14:paraId="64B62FD0" w14:textId="77777777" w:rsidR="002B79C2" w:rsidRPr="00ED5AD0" w:rsidRDefault="002B79C2" w:rsidP="002B79C2">
      <w:pPr>
        <w:pStyle w:val="ListParagraph"/>
        <w:spacing w:after="0" w:line="240" w:lineRule="auto"/>
        <w:ind w:left="360"/>
        <w:rPr>
          <w:rFonts w:cs="Arial"/>
          <w:b/>
          <w:color w:val="000000"/>
          <w:szCs w:val="24"/>
        </w:rPr>
      </w:pPr>
    </w:p>
    <w:p w14:paraId="3C552E35" w14:textId="77777777" w:rsidR="002B79C2" w:rsidRPr="00ED5AD0" w:rsidRDefault="00FB0888" w:rsidP="00D32888">
      <w:pPr>
        <w:numPr>
          <w:ilvl w:val="0"/>
          <w:numId w:val="5"/>
        </w:numPr>
        <w:rPr>
          <w:rFonts w:eastAsia="Calibri" w:cs="Arial"/>
          <w:b/>
          <w:color w:val="000000"/>
          <w:szCs w:val="24"/>
        </w:rPr>
      </w:pPr>
      <w:r w:rsidRPr="00ED5AD0">
        <w:rPr>
          <w:rFonts w:eastAsia="Calibri" w:cs="Arial"/>
          <w:b/>
          <w:color w:val="000000"/>
          <w:szCs w:val="24"/>
        </w:rPr>
        <w:t>Review and p</w:t>
      </w:r>
      <w:r w:rsidR="002B79C2" w:rsidRPr="00ED5AD0">
        <w:rPr>
          <w:rFonts w:eastAsia="Calibri" w:cs="Arial"/>
          <w:b/>
          <w:color w:val="000000"/>
          <w:szCs w:val="24"/>
        </w:rPr>
        <w:t>ublication</w:t>
      </w:r>
    </w:p>
    <w:p w14:paraId="2ADA7375" w14:textId="77777777" w:rsidR="00D97252" w:rsidRPr="00ED5AD0" w:rsidRDefault="00D97252" w:rsidP="00D97252">
      <w:pPr>
        <w:pStyle w:val="ListParagraph"/>
        <w:spacing w:after="0" w:line="240" w:lineRule="auto"/>
        <w:ind w:left="360"/>
        <w:rPr>
          <w:rFonts w:cs="Arial"/>
          <w:color w:val="000000"/>
          <w:szCs w:val="24"/>
        </w:rPr>
      </w:pPr>
      <w:r w:rsidRPr="00ED5AD0">
        <w:rPr>
          <w:rFonts w:cs="Arial"/>
          <w:color w:val="000000"/>
          <w:szCs w:val="24"/>
        </w:rPr>
        <w:t>This Pay Policy Statement will be reviewed annually and reported to Council for approval.</w:t>
      </w:r>
    </w:p>
    <w:p w14:paraId="198C1EEE" w14:textId="77777777" w:rsidR="00D97252" w:rsidRPr="00ED5AD0" w:rsidRDefault="00D97252" w:rsidP="00D97252">
      <w:pPr>
        <w:pStyle w:val="ListParagraph"/>
        <w:spacing w:after="0" w:line="240" w:lineRule="auto"/>
        <w:ind w:left="360"/>
        <w:rPr>
          <w:rFonts w:cs="Arial"/>
          <w:color w:val="000000"/>
          <w:szCs w:val="24"/>
        </w:rPr>
      </w:pPr>
    </w:p>
    <w:p w14:paraId="2F8B589E" w14:textId="77777777" w:rsidR="00D97252" w:rsidRPr="00ED5AD0" w:rsidRDefault="00D97252" w:rsidP="00D97252">
      <w:pPr>
        <w:pStyle w:val="ListParagraph"/>
        <w:spacing w:after="0" w:line="240" w:lineRule="auto"/>
        <w:ind w:left="360"/>
        <w:rPr>
          <w:rFonts w:cs="Arial"/>
          <w:color w:val="000000"/>
          <w:szCs w:val="24"/>
        </w:rPr>
      </w:pPr>
      <w:r w:rsidRPr="00ED5AD0">
        <w:rPr>
          <w:rFonts w:cs="Arial"/>
          <w:color w:val="000000"/>
          <w:szCs w:val="24"/>
        </w:rPr>
        <w:t>The Statement will be made available to the public on the Council’s website</w:t>
      </w:r>
      <w:r w:rsidR="00C652A4" w:rsidRPr="00ED5AD0">
        <w:rPr>
          <w:rFonts w:cs="Arial"/>
          <w:color w:val="000000"/>
          <w:szCs w:val="24"/>
        </w:rPr>
        <w:t xml:space="preserve"> and will be included in the Council’s Publications’ Scheme</w:t>
      </w:r>
      <w:r w:rsidR="0021065D" w:rsidRPr="00ED5AD0">
        <w:rPr>
          <w:rFonts w:cs="Arial"/>
          <w:color w:val="000000"/>
          <w:szCs w:val="24"/>
        </w:rPr>
        <w:t xml:space="preserve"> in a format that complies with regulations governing transparency</w:t>
      </w:r>
      <w:r w:rsidRPr="00ED5AD0">
        <w:rPr>
          <w:rFonts w:cs="Arial"/>
          <w:color w:val="000000"/>
          <w:szCs w:val="24"/>
        </w:rPr>
        <w:t xml:space="preserve">. </w:t>
      </w:r>
    </w:p>
    <w:p w14:paraId="0FD37C2B" w14:textId="77777777" w:rsidR="00346D92" w:rsidRPr="00ED5AD0" w:rsidRDefault="00346D92" w:rsidP="00175585">
      <w:pPr>
        <w:pStyle w:val="ListParagraph"/>
        <w:spacing w:after="0" w:line="240" w:lineRule="auto"/>
        <w:ind w:left="360"/>
        <w:jc w:val="right"/>
        <w:rPr>
          <w:rFonts w:cs="Arial"/>
          <w:color w:val="FF0000"/>
          <w:szCs w:val="24"/>
        </w:rPr>
      </w:pPr>
    </w:p>
    <w:p w14:paraId="3F4F3E22" w14:textId="77777777" w:rsidR="00F613DC" w:rsidRPr="00ED5AD0" w:rsidRDefault="00F613DC" w:rsidP="00175585">
      <w:pPr>
        <w:pStyle w:val="ListParagraph"/>
        <w:spacing w:after="0" w:line="240" w:lineRule="auto"/>
        <w:ind w:left="360"/>
        <w:jc w:val="right"/>
        <w:rPr>
          <w:rFonts w:cs="Arial"/>
          <w:color w:val="FF0000"/>
          <w:szCs w:val="24"/>
        </w:rPr>
      </w:pPr>
      <w:r w:rsidRPr="00ED5AD0">
        <w:rPr>
          <w:rFonts w:cs="Arial"/>
          <w:color w:val="FF0000"/>
          <w:szCs w:val="24"/>
        </w:rPr>
        <w:br w:type="page"/>
      </w:r>
    </w:p>
    <w:p w14:paraId="5E0F8740" w14:textId="77777777" w:rsidR="00F613DC" w:rsidRPr="00ED5AD0" w:rsidRDefault="00F613DC" w:rsidP="00175585">
      <w:pPr>
        <w:pStyle w:val="ListParagraph"/>
        <w:spacing w:after="0" w:line="240" w:lineRule="auto"/>
        <w:ind w:left="360"/>
        <w:jc w:val="right"/>
        <w:rPr>
          <w:rFonts w:cs="Arial"/>
          <w:color w:val="FF0000"/>
          <w:szCs w:val="24"/>
        </w:rPr>
      </w:pPr>
    </w:p>
    <w:p w14:paraId="14C4877B" w14:textId="77777777" w:rsidR="00F613DC" w:rsidRPr="00ED5AD0" w:rsidRDefault="00F613DC" w:rsidP="00175585">
      <w:pPr>
        <w:pStyle w:val="ListParagraph"/>
        <w:spacing w:after="0" w:line="240" w:lineRule="auto"/>
        <w:ind w:left="360"/>
        <w:jc w:val="right"/>
        <w:rPr>
          <w:rFonts w:cs="Arial"/>
          <w:color w:val="FF0000"/>
          <w:szCs w:val="24"/>
        </w:rPr>
      </w:pPr>
    </w:p>
    <w:p w14:paraId="528E3C5E" w14:textId="77777777" w:rsidR="005C25F3" w:rsidRPr="00ED5AD0" w:rsidRDefault="00F613DC" w:rsidP="00F613DC">
      <w:pPr>
        <w:pStyle w:val="ListParagraph"/>
        <w:spacing w:after="0" w:line="240" w:lineRule="auto"/>
        <w:ind w:left="360"/>
        <w:jc w:val="center"/>
        <w:rPr>
          <w:rFonts w:cs="Arial"/>
          <w:b/>
          <w:color w:val="000000"/>
          <w:sz w:val="48"/>
          <w:szCs w:val="48"/>
        </w:rPr>
      </w:pPr>
      <w:r w:rsidRPr="00ED5AD0">
        <w:rPr>
          <w:rFonts w:cs="Arial"/>
          <w:b/>
          <w:color w:val="000000"/>
          <w:sz w:val="48"/>
          <w:szCs w:val="48"/>
        </w:rPr>
        <w:t>Appendices</w:t>
      </w:r>
    </w:p>
    <w:p w14:paraId="35AED550" w14:textId="77777777" w:rsidR="005C25F3" w:rsidRPr="00ED5AD0" w:rsidRDefault="005C25F3" w:rsidP="00F613DC">
      <w:pPr>
        <w:pStyle w:val="ListParagraph"/>
        <w:spacing w:after="0" w:line="240" w:lineRule="auto"/>
        <w:ind w:left="360"/>
        <w:jc w:val="center"/>
        <w:rPr>
          <w:rFonts w:cs="Arial"/>
          <w:b/>
          <w:color w:val="000000"/>
          <w:sz w:val="32"/>
          <w:szCs w:val="32"/>
        </w:rPr>
      </w:pPr>
    </w:p>
    <w:p w14:paraId="0F3A3EE0" w14:textId="77777777" w:rsidR="005C25F3" w:rsidRPr="00ED5AD0" w:rsidRDefault="005C25F3" w:rsidP="00F613DC">
      <w:pPr>
        <w:pStyle w:val="ListParagraph"/>
        <w:spacing w:after="0" w:line="240" w:lineRule="auto"/>
        <w:ind w:left="360"/>
        <w:jc w:val="center"/>
        <w:rPr>
          <w:rFonts w:cs="Arial"/>
          <w:b/>
          <w:color w:val="000000"/>
          <w:sz w:val="32"/>
          <w:szCs w:val="32"/>
        </w:rPr>
      </w:pPr>
    </w:p>
    <w:p w14:paraId="488ABE90" w14:textId="73D568A1" w:rsidR="00D97252" w:rsidRPr="00ED5AD0" w:rsidRDefault="00222CE1" w:rsidP="005C25F3">
      <w:pPr>
        <w:pStyle w:val="ListParagraph"/>
        <w:spacing w:after="0" w:line="240" w:lineRule="auto"/>
        <w:ind w:left="360"/>
        <w:jc w:val="right"/>
        <w:rPr>
          <w:rFonts w:cs="Arial"/>
          <w:color w:val="000000"/>
          <w:szCs w:val="24"/>
        </w:rPr>
      </w:pPr>
      <w:r w:rsidRPr="00ED5AD0">
        <w:rPr>
          <w:rFonts w:cs="Arial"/>
          <w:color w:val="FF0000"/>
          <w:szCs w:val="24"/>
        </w:rPr>
        <w:br w:type="page"/>
      </w:r>
      <w:r w:rsidR="00175585" w:rsidRPr="00ED5AD0">
        <w:rPr>
          <w:rFonts w:cs="Arial"/>
          <w:color w:val="000000"/>
          <w:szCs w:val="24"/>
        </w:rPr>
        <w:lastRenderedPageBreak/>
        <w:t>Appendix A</w:t>
      </w:r>
    </w:p>
    <w:p w14:paraId="0DBD7414" w14:textId="77777777" w:rsidR="00175585" w:rsidRPr="00ED5AD0" w:rsidRDefault="00175585" w:rsidP="00175585">
      <w:pPr>
        <w:jc w:val="center"/>
        <w:rPr>
          <w:rFonts w:cs="Arial"/>
          <w:b/>
          <w:sz w:val="28"/>
          <w:szCs w:val="28"/>
        </w:rPr>
      </w:pPr>
      <w:r w:rsidRPr="00ED5AD0">
        <w:rPr>
          <w:rFonts w:cs="Arial"/>
          <w:b/>
          <w:sz w:val="28"/>
          <w:szCs w:val="28"/>
        </w:rPr>
        <w:t>Pay Strategy</w:t>
      </w:r>
    </w:p>
    <w:p w14:paraId="381AEDF8" w14:textId="77777777" w:rsidR="00175585" w:rsidRPr="00ED5AD0" w:rsidRDefault="00175585" w:rsidP="00175585">
      <w:pPr>
        <w:ind w:left="426"/>
        <w:rPr>
          <w:rFonts w:cs="Arial"/>
          <w:b/>
          <w:sz w:val="28"/>
          <w:szCs w:val="28"/>
        </w:rPr>
      </w:pPr>
    </w:p>
    <w:p w14:paraId="7C28209A" w14:textId="77777777" w:rsidR="00175585" w:rsidRPr="00ED5AD0" w:rsidRDefault="00175585" w:rsidP="00175585">
      <w:pPr>
        <w:ind w:left="426"/>
        <w:rPr>
          <w:rFonts w:cs="Arial"/>
          <w:b/>
          <w:sz w:val="28"/>
          <w:szCs w:val="28"/>
        </w:rPr>
      </w:pPr>
    </w:p>
    <w:p w14:paraId="2A77A829" w14:textId="77777777" w:rsidR="00175585" w:rsidRPr="00ED5AD0" w:rsidRDefault="00175585" w:rsidP="00175585">
      <w:pPr>
        <w:ind w:left="426"/>
        <w:rPr>
          <w:rFonts w:cs="Arial"/>
          <w:b/>
          <w:sz w:val="28"/>
          <w:szCs w:val="28"/>
        </w:rPr>
      </w:pPr>
      <w:r w:rsidRPr="00ED5AD0">
        <w:rPr>
          <w:rFonts w:cs="Arial"/>
          <w:b/>
          <w:sz w:val="28"/>
          <w:szCs w:val="28"/>
        </w:rPr>
        <w:t>Purpose</w:t>
      </w:r>
    </w:p>
    <w:p w14:paraId="4B7AFC3E" w14:textId="77777777" w:rsidR="00175585" w:rsidRPr="00ED5AD0" w:rsidRDefault="00175585" w:rsidP="00175585">
      <w:pPr>
        <w:ind w:left="426"/>
        <w:rPr>
          <w:rFonts w:cs="Arial"/>
          <w:szCs w:val="24"/>
        </w:rPr>
      </w:pPr>
    </w:p>
    <w:p w14:paraId="482BBE13" w14:textId="77777777" w:rsidR="00175585" w:rsidRPr="00ED5AD0" w:rsidRDefault="00175585" w:rsidP="00175585">
      <w:pPr>
        <w:ind w:left="426"/>
        <w:rPr>
          <w:rFonts w:cs="Arial"/>
          <w:szCs w:val="24"/>
        </w:rPr>
      </w:pPr>
      <w:r w:rsidRPr="00ED5AD0">
        <w:rPr>
          <w:rFonts w:cs="Arial"/>
          <w:szCs w:val="24"/>
        </w:rPr>
        <w:t>This strategy identifies the principles by which pay is governed in the organisation and specifies how these principles are embedded in practice.</w:t>
      </w:r>
    </w:p>
    <w:p w14:paraId="5127B9CA" w14:textId="77777777" w:rsidR="00175585" w:rsidRPr="00ED5AD0" w:rsidRDefault="00175585" w:rsidP="00175585">
      <w:pPr>
        <w:ind w:left="426"/>
        <w:rPr>
          <w:rFonts w:cs="Arial"/>
          <w:b/>
          <w:sz w:val="28"/>
          <w:szCs w:val="28"/>
        </w:rPr>
      </w:pPr>
    </w:p>
    <w:p w14:paraId="7C0F60E2" w14:textId="77777777" w:rsidR="00175585" w:rsidRPr="00ED5AD0" w:rsidRDefault="00175585" w:rsidP="00175585">
      <w:pPr>
        <w:ind w:left="426"/>
        <w:rPr>
          <w:rFonts w:cs="Arial"/>
          <w:b/>
          <w:sz w:val="28"/>
          <w:szCs w:val="28"/>
        </w:rPr>
      </w:pPr>
      <w:r w:rsidRPr="00ED5AD0">
        <w:rPr>
          <w:rFonts w:cs="Arial"/>
          <w:b/>
          <w:sz w:val="28"/>
          <w:szCs w:val="28"/>
        </w:rPr>
        <w:t>Pay</w:t>
      </w:r>
    </w:p>
    <w:p w14:paraId="7504AA85" w14:textId="77777777" w:rsidR="00175585" w:rsidRPr="00ED5AD0" w:rsidRDefault="00175585" w:rsidP="00175585">
      <w:pPr>
        <w:ind w:left="426"/>
        <w:rPr>
          <w:rFonts w:cs="Arial"/>
          <w:b/>
          <w:szCs w:val="24"/>
        </w:rPr>
      </w:pPr>
    </w:p>
    <w:p w14:paraId="4F0EAA39" w14:textId="77777777" w:rsidR="00175585" w:rsidRPr="00ED5AD0" w:rsidRDefault="00175585" w:rsidP="00175585">
      <w:pPr>
        <w:ind w:left="426"/>
        <w:rPr>
          <w:rFonts w:cs="Arial"/>
          <w:b/>
          <w:szCs w:val="24"/>
        </w:rPr>
      </w:pPr>
      <w:r w:rsidRPr="00ED5AD0">
        <w:rPr>
          <w:rFonts w:cs="Arial"/>
          <w:b/>
          <w:szCs w:val="24"/>
        </w:rPr>
        <w:t>Strategic Principles</w:t>
      </w:r>
    </w:p>
    <w:p w14:paraId="00A53AEE" w14:textId="77777777" w:rsidR="00175585" w:rsidRPr="00ED5AD0" w:rsidRDefault="00175585" w:rsidP="00D32888">
      <w:pPr>
        <w:numPr>
          <w:ilvl w:val="0"/>
          <w:numId w:val="29"/>
        </w:numPr>
        <w:spacing w:after="200" w:line="276" w:lineRule="auto"/>
        <w:rPr>
          <w:rFonts w:cs="Arial"/>
          <w:szCs w:val="24"/>
        </w:rPr>
      </w:pPr>
      <w:r w:rsidRPr="00ED5AD0">
        <w:rPr>
          <w:rFonts w:cs="Arial"/>
          <w:szCs w:val="24"/>
        </w:rPr>
        <w:t>We will pay sufficiently well to attract and retain talent in line with our ambitions, priorities and workforce strategy.</w:t>
      </w:r>
    </w:p>
    <w:p w14:paraId="5DD2775A" w14:textId="77777777" w:rsidR="00175585" w:rsidRPr="00ED5AD0" w:rsidRDefault="00175585" w:rsidP="00D32888">
      <w:pPr>
        <w:numPr>
          <w:ilvl w:val="0"/>
          <w:numId w:val="29"/>
        </w:numPr>
        <w:spacing w:after="200" w:line="276" w:lineRule="auto"/>
        <w:rPr>
          <w:rFonts w:cs="Arial"/>
          <w:szCs w:val="24"/>
        </w:rPr>
      </w:pPr>
      <w:r w:rsidRPr="00ED5AD0">
        <w:rPr>
          <w:rFonts w:cs="Arial"/>
          <w:szCs w:val="24"/>
        </w:rPr>
        <w:t>When setting pay we will be sensitive to, and respectful of the need to balance fair pay with public interest.</w:t>
      </w:r>
    </w:p>
    <w:p w14:paraId="6E39AF0E" w14:textId="77777777" w:rsidR="00175585" w:rsidRPr="00ED5AD0" w:rsidRDefault="00175585" w:rsidP="00D32888">
      <w:pPr>
        <w:numPr>
          <w:ilvl w:val="0"/>
          <w:numId w:val="29"/>
        </w:numPr>
        <w:spacing w:after="200" w:line="276" w:lineRule="auto"/>
        <w:rPr>
          <w:rFonts w:cs="Arial"/>
          <w:szCs w:val="24"/>
        </w:rPr>
      </w:pPr>
      <w:r w:rsidRPr="00ED5AD0">
        <w:rPr>
          <w:rFonts w:cs="Arial"/>
          <w:szCs w:val="24"/>
        </w:rPr>
        <w:t xml:space="preserve">We recognise our social responsibility to support in appropriate ways, a commitment to paying our lowest-paid employees fairly.  </w:t>
      </w:r>
    </w:p>
    <w:p w14:paraId="35FD9EF4" w14:textId="77777777" w:rsidR="00175585" w:rsidRPr="00ED5AD0" w:rsidRDefault="00175585" w:rsidP="00D32888">
      <w:pPr>
        <w:numPr>
          <w:ilvl w:val="0"/>
          <w:numId w:val="29"/>
        </w:numPr>
        <w:spacing w:after="200" w:line="276" w:lineRule="auto"/>
        <w:rPr>
          <w:rFonts w:cs="Arial"/>
          <w:szCs w:val="24"/>
        </w:rPr>
      </w:pPr>
      <w:r w:rsidRPr="00ED5AD0">
        <w:rPr>
          <w:rFonts w:cs="Arial"/>
          <w:szCs w:val="24"/>
        </w:rPr>
        <w:t xml:space="preserve">We are committed to developing employment opportunities for </w:t>
      </w:r>
      <w:proofErr w:type="gramStart"/>
      <w:r w:rsidRPr="00ED5AD0">
        <w:rPr>
          <w:rFonts w:cs="Arial"/>
          <w:szCs w:val="24"/>
        </w:rPr>
        <w:t>local residents</w:t>
      </w:r>
      <w:proofErr w:type="gramEnd"/>
      <w:r w:rsidRPr="00ED5AD0">
        <w:rPr>
          <w:rFonts w:cs="Arial"/>
          <w:szCs w:val="24"/>
        </w:rPr>
        <w:t xml:space="preserve">.  Training posts with training pay grades will be supported by the Council. </w:t>
      </w:r>
    </w:p>
    <w:p w14:paraId="5DC7BBA6" w14:textId="77777777" w:rsidR="00175585" w:rsidRPr="00ED5AD0" w:rsidRDefault="00175585" w:rsidP="00D32888">
      <w:pPr>
        <w:numPr>
          <w:ilvl w:val="0"/>
          <w:numId w:val="29"/>
        </w:numPr>
        <w:spacing w:after="200" w:line="276" w:lineRule="auto"/>
        <w:rPr>
          <w:rFonts w:cs="Arial"/>
          <w:szCs w:val="24"/>
        </w:rPr>
      </w:pPr>
      <w:r w:rsidRPr="00ED5AD0">
        <w:rPr>
          <w:rFonts w:cs="Arial"/>
          <w:szCs w:val="24"/>
        </w:rPr>
        <w:t xml:space="preserve">We will keep pay under regular review and take action to maintain the ambitions stated in our pay principles. </w:t>
      </w:r>
    </w:p>
    <w:p w14:paraId="5276B44F" w14:textId="77777777" w:rsidR="00175585" w:rsidRPr="00ED5AD0" w:rsidRDefault="00175585" w:rsidP="00175585">
      <w:pPr>
        <w:ind w:left="426"/>
        <w:rPr>
          <w:rFonts w:cs="Arial"/>
          <w:szCs w:val="24"/>
        </w:rPr>
      </w:pPr>
    </w:p>
    <w:p w14:paraId="2EF00ED8" w14:textId="77777777" w:rsidR="00175585" w:rsidRPr="00ED5AD0" w:rsidRDefault="00175585" w:rsidP="00175585">
      <w:pPr>
        <w:ind w:left="426"/>
        <w:rPr>
          <w:rFonts w:cs="Arial"/>
          <w:b/>
          <w:szCs w:val="24"/>
        </w:rPr>
      </w:pPr>
      <w:r w:rsidRPr="00ED5AD0">
        <w:rPr>
          <w:rFonts w:cs="Arial"/>
          <w:b/>
          <w:szCs w:val="24"/>
        </w:rPr>
        <w:t>Operational Practices</w:t>
      </w:r>
    </w:p>
    <w:p w14:paraId="4A764DA2"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Job grades for staff governed by conditions of the National Joint Council on Pay and Conditions of Service (NJC) are established locally but are based on national spinal column points. </w:t>
      </w:r>
    </w:p>
    <w:p w14:paraId="378D1F89"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Job grades for the Chief Executive and Chief Officers are established locally using local pay points. General terms and conditions are governed by the appropriate national bodies, the Joint Negotiating Committees (JNC). </w:t>
      </w:r>
    </w:p>
    <w:p w14:paraId="3BFFA2E3"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Pay is linked to performance for NJC employees </w:t>
      </w:r>
      <w:r w:rsidRPr="00ED5AD0">
        <w:rPr>
          <w:rFonts w:cs="Arial"/>
          <w:b/>
          <w:bCs/>
          <w:szCs w:val="24"/>
        </w:rPr>
        <w:t>(Document 1),</w:t>
      </w:r>
      <w:r w:rsidRPr="00ED5AD0">
        <w:rPr>
          <w:rFonts w:cs="Arial"/>
          <w:szCs w:val="24"/>
        </w:rPr>
        <w:t xml:space="preserve"> </w:t>
      </w:r>
      <w:r w:rsidR="00A8035A" w:rsidRPr="00ED5AD0">
        <w:rPr>
          <w:rFonts w:cs="Arial"/>
          <w:szCs w:val="24"/>
        </w:rPr>
        <w:t>Senior Leadership Team</w:t>
      </w:r>
      <w:r w:rsidRPr="00ED5AD0">
        <w:rPr>
          <w:rFonts w:cs="Arial"/>
          <w:szCs w:val="24"/>
        </w:rPr>
        <w:t xml:space="preserve"> </w:t>
      </w:r>
      <w:r w:rsidRPr="00ED5AD0">
        <w:rPr>
          <w:rFonts w:cs="Arial"/>
          <w:b/>
          <w:bCs/>
          <w:szCs w:val="24"/>
        </w:rPr>
        <w:t>(Document 2)</w:t>
      </w:r>
      <w:r w:rsidRPr="00ED5AD0">
        <w:rPr>
          <w:rFonts w:cs="Arial"/>
          <w:szCs w:val="24"/>
        </w:rPr>
        <w:t xml:space="preserve"> and </w:t>
      </w:r>
      <w:r w:rsidR="00EA654F" w:rsidRPr="00ED5AD0">
        <w:rPr>
          <w:rFonts w:cs="Arial"/>
          <w:szCs w:val="24"/>
        </w:rPr>
        <w:t>Heads of Service</w:t>
      </w:r>
      <w:r w:rsidRPr="00ED5AD0">
        <w:rPr>
          <w:rFonts w:cs="Arial"/>
          <w:szCs w:val="24"/>
        </w:rPr>
        <w:t xml:space="preserve"> </w:t>
      </w:r>
      <w:r w:rsidRPr="00ED5AD0">
        <w:rPr>
          <w:rFonts w:cs="Arial"/>
          <w:b/>
          <w:bCs/>
          <w:szCs w:val="24"/>
        </w:rPr>
        <w:t>(Document 3).</w:t>
      </w:r>
      <w:r w:rsidRPr="00ED5AD0">
        <w:rPr>
          <w:rFonts w:cs="Arial"/>
          <w:szCs w:val="24"/>
        </w:rPr>
        <w:t xml:space="preserve">  </w:t>
      </w:r>
    </w:p>
    <w:p w14:paraId="5918A951"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Pay awards made under national pay bargaining are applied to all employees covered by the NJC and JNC conditions of service.</w:t>
      </w:r>
    </w:p>
    <w:p w14:paraId="222473E0" w14:textId="2C11C654" w:rsidR="00175585" w:rsidRPr="00ED5AD0" w:rsidRDefault="00175585" w:rsidP="00D32888">
      <w:pPr>
        <w:numPr>
          <w:ilvl w:val="0"/>
          <w:numId w:val="33"/>
        </w:numPr>
        <w:spacing w:after="200" w:line="276" w:lineRule="auto"/>
        <w:contextualSpacing/>
        <w:rPr>
          <w:rFonts w:cs="Arial"/>
          <w:color w:val="000000"/>
          <w:szCs w:val="24"/>
        </w:rPr>
      </w:pPr>
      <w:r w:rsidRPr="00ED5AD0">
        <w:rPr>
          <w:rFonts w:cs="Arial"/>
          <w:color w:val="000000"/>
          <w:szCs w:val="24"/>
        </w:rPr>
        <w:t xml:space="preserve">Market supplements will be applied to basic pay </w:t>
      </w:r>
      <w:proofErr w:type="gramStart"/>
      <w:r w:rsidRPr="00ED5AD0">
        <w:rPr>
          <w:rFonts w:cs="Arial"/>
          <w:color w:val="000000"/>
          <w:szCs w:val="24"/>
        </w:rPr>
        <w:t>in order to</w:t>
      </w:r>
      <w:proofErr w:type="gramEnd"/>
      <w:r w:rsidRPr="00ED5AD0">
        <w:rPr>
          <w:rFonts w:cs="Arial"/>
          <w:color w:val="000000"/>
          <w:szCs w:val="24"/>
        </w:rPr>
        <w:t xml:space="preserve"> attract first class candidates into our workforce.  Such supplements will be applied in the exceptional circumstances described in </w:t>
      </w:r>
      <w:r w:rsidR="007912C6" w:rsidRPr="00ED5AD0">
        <w:rPr>
          <w:rFonts w:cs="Arial"/>
          <w:b/>
          <w:bCs/>
          <w:color w:val="000000"/>
          <w:szCs w:val="24"/>
        </w:rPr>
        <w:t>(</w:t>
      </w:r>
      <w:r w:rsidRPr="00ED5AD0">
        <w:rPr>
          <w:rFonts w:cs="Arial"/>
          <w:b/>
          <w:bCs/>
          <w:color w:val="000000"/>
          <w:szCs w:val="24"/>
        </w:rPr>
        <w:t>Document 4</w:t>
      </w:r>
      <w:r w:rsidR="007912C6" w:rsidRPr="00ED5AD0">
        <w:rPr>
          <w:rFonts w:cs="Arial"/>
          <w:b/>
          <w:bCs/>
          <w:color w:val="000000"/>
          <w:szCs w:val="24"/>
        </w:rPr>
        <w:t>)</w:t>
      </w:r>
      <w:r w:rsidRPr="00ED5AD0">
        <w:rPr>
          <w:rFonts w:cs="Arial"/>
          <w:b/>
          <w:bCs/>
          <w:color w:val="000000"/>
          <w:szCs w:val="24"/>
        </w:rPr>
        <w:t>.</w:t>
      </w:r>
      <w:r w:rsidRPr="00ED5AD0">
        <w:rPr>
          <w:rFonts w:cs="Arial"/>
          <w:color w:val="000000"/>
          <w:szCs w:val="24"/>
        </w:rPr>
        <w:t xml:space="preserve"> </w:t>
      </w:r>
    </w:p>
    <w:p w14:paraId="6B7E1DFB" w14:textId="3D2C146D" w:rsidR="00175585" w:rsidRPr="00ED5AD0" w:rsidRDefault="00175585" w:rsidP="00D32888">
      <w:pPr>
        <w:numPr>
          <w:ilvl w:val="0"/>
          <w:numId w:val="33"/>
        </w:numPr>
        <w:spacing w:after="200" w:line="276" w:lineRule="auto"/>
        <w:contextualSpacing/>
        <w:rPr>
          <w:rFonts w:cs="Arial"/>
          <w:color w:val="000000"/>
          <w:szCs w:val="24"/>
        </w:rPr>
      </w:pPr>
      <w:r w:rsidRPr="00ED5AD0">
        <w:rPr>
          <w:rFonts w:cs="Arial"/>
          <w:color w:val="000000"/>
          <w:szCs w:val="24"/>
        </w:rPr>
        <w:t xml:space="preserve">Honoraria payments will be used for short periods of time, normally up to one year, to appropriately recognise and reward employees who are required by the Council to perform duties and responsibilities beyond those normally expected in their substantive post for a period exceeding four weeks. The level of payment will be determined by the relevant </w:t>
      </w:r>
      <w:r w:rsidR="007912C6" w:rsidRPr="00ED5AD0">
        <w:rPr>
          <w:rFonts w:cs="Arial"/>
          <w:color w:val="000000"/>
          <w:szCs w:val="24"/>
        </w:rPr>
        <w:t xml:space="preserve">Assistant </w:t>
      </w:r>
      <w:r w:rsidR="005103EB" w:rsidRPr="00ED5AD0">
        <w:rPr>
          <w:rFonts w:cs="Arial"/>
          <w:color w:val="000000"/>
          <w:szCs w:val="24"/>
        </w:rPr>
        <w:t>Director</w:t>
      </w:r>
      <w:r w:rsidRPr="00ED5AD0">
        <w:rPr>
          <w:rFonts w:cs="Arial"/>
          <w:color w:val="000000"/>
          <w:szCs w:val="24"/>
        </w:rPr>
        <w:t xml:space="preserve"> and the </w:t>
      </w:r>
      <w:r w:rsidR="007912C6" w:rsidRPr="00ED5AD0">
        <w:rPr>
          <w:rFonts w:cs="Arial"/>
          <w:color w:val="000000"/>
          <w:szCs w:val="24"/>
        </w:rPr>
        <w:t xml:space="preserve">Assistant </w:t>
      </w:r>
      <w:r w:rsidR="005103EB" w:rsidRPr="00ED5AD0">
        <w:rPr>
          <w:rFonts w:cs="Arial"/>
          <w:color w:val="000000"/>
          <w:szCs w:val="24"/>
        </w:rPr>
        <w:t>Director</w:t>
      </w:r>
      <w:r w:rsidRPr="00ED5AD0">
        <w:rPr>
          <w:rFonts w:cs="Arial"/>
          <w:color w:val="000000"/>
          <w:szCs w:val="24"/>
        </w:rPr>
        <w:t xml:space="preserve"> responsible for the </w:t>
      </w:r>
      <w:r w:rsidR="007912C6" w:rsidRPr="00ED5AD0">
        <w:rPr>
          <w:rFonts w:cs="Arial"/>
          <w:color w:val="000000"/>
          <w:szCs w:val="24"/>
        </w:rPr>
        <w:t>H</w:t>
      </w:r>
      <w:r w:rsidRPr="00ED5AD0">
        <w:rPr>
          <w:rFonts w:cs="Arial"/>
          <w:color w:val="000000"/>
          <w:szCs w:val="24"/>
        </w:rPr>
        <w:t xml:space="preserve">uman </w:t>
      </w:r>
      <w:r w:rsidR="007912C6" w:rsidRPr="00ED5AD0">
        <w:rPr>
          <w:rFonts w:cs="Arial"/>
          <w:color w:val="000000"/>
          <w:szCs w:val="24"/>
        </w:rPr>
        <w:t>R</w:t>
      </w:r>
      <w:r w:rsidRPr="00ED5AD0">
        <w:rPr>
          <w:rFonts w:cs="Arial"/>
          <w:color w:val="000000"/>
          <w:szCs w:val="24"/>
        </w:rPr>
        <w:t xml:space="preserve">esources function.  </w:t>
      </w:r>
    </w:p>
    <w:p w14:paraId="60511C92" w14:textId="77777777" w:rsidR="00175585" w:rsidRPr="00ED5AD0" w:rsidRDefault="00175585" w:rsidP="00175585">
      <w:pPr>
        <w:ind w:left="426"/>
        <w:rPr>
          <w:rFonts w:cs="Arial"/>
          <w:szCs w:val="24"/>
        </w:rPr>
      </w:pPr>
    </w:p>
    <w:p w14:paraId="22C1E695" w14:textId="77777777" w:rsidR="00175585" w:rsidRPr="00ED5AD0" w:rsidRDefault="00175585" w:rsidP="00175585">
      <w:pPr>
        <w:ind w:left="426"/>
        <w:rPr>
          <w:rFonts w:cs="Arial"/>
          <w:b/>
          <w:sz w:val="28"/>
          <w:szCs w:val="28"/>
        </w:rPr>
      </w:pPr>
      <w:r w:rsidRPr="00ED5AD0">
        <w:rPr>
          <w:rFonts w:cs="Arial"/>
          <w:b/>
          <w:sz w:val="28"/>
          <w:szCs w:val="28"/>
        </w:rPr>
        <w:t>Equality</w:t>
      </w:r>
    </w:p>
    <w:p w14:paraId="03B797EE" w14:textId="77777777" w:rsidR="00175585" w:rsidRPr="00ED5AD0" w:rsidRDefault="00175585" w:rsidP="00175585">
      <w:pPr>
        <w:ind w:left="426"/>
        <w:rPr>
          <w:rFonts w:cs="Arial"/>
          <w:b/>
          <w:szCs w:val="24"/>
        </w:rPr>
      </w:pPr>
    </w:p>
    <w:p w14:paraId="354C48F9" w14:textId="77777777" w:rsidR="00175585" w:rsidRPr="00ED5AD0" w:rsidRDefault="00175585" w:rsidP="00175585">
      <w:pPr>
        <w:ind w:left="426"/>
        <w:rPr>
          <w:rFonts w:cs="Arial"/>
          <w:b/>
          <w:szCs w:val="24"/>
        </w:rPr>
      </w:pPr>
      <w:r w:rsidRPr="00ED5AD0">
        <w:rPr>
          <w:rFonts w:cs="Arial"/>
          <w:b/>
          <w:szCs w:val="24"/>
        </w:rPr>
        <w:t>Strategic Principles</w:t>
      </w:r>
    </w:p>
    <w:p w14:paraId="4A98452F" w14:textId="44964973"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 xml:space="preserve">Pay equality within the workforce will be maintained by ensuring that jobs are objectively graded through a job evaluation mechanism appropriate to NJC employees and to </w:t>
      </w:r>
      <w:r w:rsidR="00424671" w:rsidRPr="00ED5AD0">
        <w:rPr>
          <w:rFonts w:cs="Arial"/>
          <w:szCs w:val="24"/>
        </w:rPr>
        <w:t xml:space="preserve">Assistant </w:t>
      </w:r>
      <w:r w:rsidR="005103EB" w:rsidRPr="00ED5AD0">
        <w:rPr>
          <w:rFonts w:cs="Arial"/>
          <w:szCs w:val="24"/>
        </w:rPr>
        <w:t>Director</w:t>
      </w:r>
      <w:r w:rsidR="00424671" w:rsidRPr="00ED5AD0">
        <w:rPr>
          <w:rFonts w:cs="Arial"/>
          <w:szCs w:val="24"/>
        </w:rPr>
        <w:t>s</w:t>
      </w:r>
      <w:r w:rsidRPr="00ED5AD0">
        <w:rPr>
          <w:rFonts w:cs="Arial"/>
          <w:szCs w:val="24"/>
        </w:rPr>
        <w:t>.</w:t>
      </w:r>
    </w:p>
    <w:p w14:paraId="4EA2F5EA" w14:textId="77777777"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 xml:space="preserve">Pay grades will be designed in line with best practice to ensure that pay is non-discriminatory particularly in respect to gender. </w:t>
      </w:r>
    </w:p>
    <w:p w14:paraId="5CC0E3AE" w14:textId="77777777"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The Equal Pay Policy Statement sets out the general principles of pay and equality</w:t>
      </w:r>
    </w:p>
    <w:p w14:paraId="6EEB6399" w14:textId="77777777" w:rsidR="00175585" w:rsidRPr="00ED5AD0" w:rsidRDefault="00175585" w:rsidP="00175585">
      <w:pPr>
        <w:spacing w:line="276" w:lineRule="auto"/>
        <w:ind w:left="426"/>
        <w:rPr>
          <w:rFonts w:cs="Arial"/>
          <w:b/>
          <w:szCs w:val="24"/>
        </w:rPr>
      </w:pPr>
    </w:p>
    <w:p w14:paraId="5758D92B" w14:textId="77777777" w:rsidR="00175585" w:rsidRPr="00ED5AD0" w:rsidRDefault="00175585" w:rsidP="00175585">
      <w:pPr>
        <w:spacing w:line="276" w:lineRule="auto"/>
        <w:ind w:left="426"/>
        <w:rPr>
          <w:rFonts w:cs="Arial"/>
          <w:b/>
          <w:szCs w:val="24"/>
        </w:rPr>
      </w:pPr>
      <w:r w:rsidRPr="00ED5AD0">
        <w:rPr>
          <w:rFonts w:cs="Arial"/>
          <w:b/>
          <w:szCs w:val="24"/>
        </w:rPr>
        <w:t>Operational Practices</w:t>
      </w:r>
    </w:p>
    <w:p w14:paraId="069038BE" w14:textId="77777777"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A “Gender Pay Gap” review of pay will be undertaken annually within Government guidelines.  Findings of this review, including any recommendations for action will be reported to Senior Leadership Team and to the Joint Consultative and Safety Committee.</w:t>
      </w:r>
    </w:p>
    <w:p w14:paraId="65DD76A3" w14:textId="77777777"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The NJC job evaluation scheme is used as a framework to determine job scores used as a basis for local pay.</w:t>
      </w:r>
    </w:p>
    <w:p w14:paraId="7C1D2C18" w14:textId="32BDDDEE"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 xml:space="preserve">A </w:t>
      </w:r>
      <w:proofErr w:type="gramStart"/>
      <w:r w:rsidRPr="00ED5AD0">
        <w:rPr>
          <w:rFonts w:cs="Arial"/>
          <w:szCs w:val="24"/>
        </w:rPr>
        <w:t>locally-determined</w:t>
      </w:r>
      <w:proofErr w:type="gramEnd"/>
      <w:r w:rsidRPr="00ED5AD0">
        <w:rPr>
          <w:rFonts w:cs="Arial"/>
          <w:szCs w:val="24"/>
        </w:rPr>
        <w:t xml:space="preserve"> job evaluation scheme will be applied to </w:t>
      </w:r>
      <w:r w:rsidR="00424671" w:rsidRPr="00ED5AD0">
        <w:rPr>
          <w:rFonts w:cs="Arial"/>
          <w:szCs w:val="24"/>
        </w:rPr>
        <w:t xml:space="preserve">Assistant </w:t>
      </w:r>
      <w:r w:rsidR="005103EB" w:rsidRPr="00ED5AD0">
        <w:rPr>
          <w:rFonts w:cs="Arial"/>
          <w:szCs w:val="24"/>
        </w:rPr>
        <w:t>Director</w:t>
      </w:r>
      <w:r w:rsidRPr="00ED5AD0">
        <w:rPr>
          <w:rFonts w:cs="Arial"/>
          <w:szCs w:val="24"/>
        </w:rPr>
        <w:t xml:space="preserve"> posts covered by JNC terms for Chief Offices.</w:t>
      </w:r>
    </w:p>
    <w:p w14:paraId="06318F9B" w14:textId="77777777"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Job evaluation of new and changed NJC posts will be undertaken by management and union representatives.</w:t>
      </w:r>
    </w:p>
    <w:p w14:paraId="365EDC97" w14:textId="16100EB3" w:rsidR="00175585" w:rsidRPr="00ED5AD0" w:rsidRDefault="00175585" w:rsidP="00D32888">
      <w:pPr>
        <w:numPr>
          <w:ilvl w:val="0"/>
          <w:numId w:val="30"/>
        </w:numPr>
        <w:spacing w:after="200" w:line="276" w:lineRule="auto"/>
        <w:ind w:left="709" w:hanging="283"/>
        <w:rPr>
          <w:rFonts w:cs="Arial"/>
          <w:szCs w:val="24"/>
        </w:rPr>
      </w:pPr>
      <w:r w:rsidRPr="00ED5AD0">
        <w:rPr>
          <w:rFonts w:cs="Arial"/>
          <w:szCs w:val="24"/>
        </w:rPr>
        <w:t xml:space="preserve">Job evaluation of new and changed JNC </w:t>
      </w:r>
      <w:r w:rsidR="00424671" w:rsidRPr="00ED5AD0">
        <w:rPr>
          <w:rFonts w:cs="Arial"/>
          <w:szCs w:val="24"/>
        </w:rPr>
        <w:t xml:space="preserve">Assistant </w:t>
      </w:r>
      <w:r w:rsidR="005103EB" w:rsidRPr="00ED5AD0">
        <w:rPr>
          <w:rFonts w:cs="Arial"/>
          <w:szCs w:val="24"/>
        </w:rPr>
        <w:t>Director</w:t>
      </w:r>
      <w:r w:rsidRPr="00ED5AD0">
        <w:rPr>
          <w:rFonts w:cs="Arial"/>
          <w:szCs w:val="24"/>
        </w:rPr>
        <w:t xml:space="preserve"> posts will be undertaken by Senior Leadership Team.</w:t>
      </w:r>
    </w:p>
    <w:p w14:paraId="704157EE" w14:textId="77777777" w:rsidR="00175585" w:rsidRPr="00ED5AD0" w:rsidRDefault="00175585" w:rsidP="00175585">
      <w:pPr>
        <w:ind w:left="709"/>
        <w:rPr>
          <w:rFonts w:cs="Arial"/>
          <w:sz w:val="28"/>
          <w:szCs w:val="28"/>
        </w:rPr>
      </w:pPr>
    </w:p>
    <w:p w14:paraId="15D745D1" w14:textId="77777777" w:rsidR="00175585" w:rsidRPr="00ED5AD0" w:rsidRDefault="00175585" w:rsidP="00175585">
      <w:pPr>
        <w:ind w:left="426"/>
        <w:rPr>
          <w:rFonts w:cs="Arial"/>
          <w:b/>
          <w:color w:val="000000"/>
          <w:sz w:val="28"/>
          <w:szCs w:val="28"/>
        </w:rPr>
      </w:pPr>
      <w:r w:rsidRPr="00ED5AD0">
        <w:rPr>
          <w:rFonts w:cs="Arial"/>
          <w:b/>
          <w:color w:val="000000"/>
          <w:sz w:val="28"/>
          <w:szCs w:val="28"/>
        </w:rPr>
        <w:t>Benefits and reward</w:t>
      </w:r>
    </w:p>
    <w:p w14:paraId="7E9E1C3E" w14:textId="77777777" w:rsidR="00175585" w:rsidRPr="00ED5AD0" w:rsidRDefault="00175585" w:rsidP="00175585">
      <w:pPr>
        <w:ind w:left="426"/>
        <w:rPr>
          <w:rFonts w:cs="Arial"/>
          <w:b/>
          <w:color w:val="000000"/>
          <w:szCs w:val="24"/>
        </w:rPr>
      </w:pPr>
    </w:p>
    <w:p w14:paraId="12AE7501" w14:textId="77777777" w:rsidR="00175585" w:rsidRPr="00ED5AD0" w:rsidRDefault="00175585" w:rsidP="00175585">
      <w:pPr>
        <w:ind w:left="426"/>
        <w:rPr>
          <w:rFonts w:cs="Arial"/>
          <w:b/>
          <w:color w:val="000000"/>
          <w:szCs w:val="24"/>
        </w:rPr>
      </w:pPr>
      <w:r w:rsidRPr="00ED5AD0">
        <w:rPr>
          <w:rFonts w:cs="Arial"/>
          <w:b/>
          <w:color w:val="000000"/>
          <w:szCs w:val="24"/>
        </w:rPr>
        <w:t>Strategic principles</w:t>
      </w:r>
    </w:p>
    <w:p w14:paraId="49CB7237"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 xml:space="preserve">We recognise that pay is only one element of reward. Recruitment, retention, engagement and happiness of employees are influenced by a wider package of measures.  We will continually review terms, conditions, benefits and ways of working that will make Gedling Borough Council an employer of choice. </w:t>
      </w:r>
    </w:p>
    <w:p w14:paraId="1CE9936E" w14:textId="77777777" w:rsidR="00175585" w:rsidRPr="00ED5AD0" w:rsidRDefault="00175585" w:rsidP="00D32888">
      <w:pPr>
        <w:numPr>
          <w:ilvl w:val="0"/>
          <w:numId w:val="31"/>
        </w:numPr>
        <w:spacing w:after="200" w:line="276" w:lineRule="auto"/>
        <w:ind w:left="709" w:hanging="283"/>
        <w:rPr>
          <w:rFonts w:cs="Arial"/>
          <w:b/>
          <w:szCs w:val="24"/>
        </w:rPr>
      </w:pPr>
      <w:r w:rsidRPr="00ED5AD0">
        <w:rPr>
          <w:rFonts w:cs="Arial"/>
          <w:szCs w:val="24"/>
        </w:rPr>
        <w:t xml:space="preserve">We recognise that good physical and mental health of our employees is essential if employees are to attend work regularly and to give of their best.  </w:t>
      </w:r>
    </w:p>
    <w:p w14:paraId="47C9A892" w14:textId="77777777" w:rsidR="00175585" w:rsidRPr="00ED5AD0" w:rsidRDefault="00175585" w:rsidP="00175585">
      <w:pPr>
        <w:ind w:left="709"/>
        <w:rPr>
          <w:rFonts w:cs="Arial"/>
          <w:b/>
          <w:szCs w:val="24"/>
        </w:rPr>
      </w:pPr>
    </w:p>
    <w:p w14:paraId="1E54B911" w14:textId="77777777" w:rsidR="00175585" w:rsidRPr="00ED5AD0" w:rsidRDefault="00175585" w:rsidP="00175585">
      <w:pPr>
        <w:ind w:firstLine="426"/>
        <w:rPr>
          <w:rFonts w:cs="Arial"/>
          <w:b/>
          <w:szCs w:val="24"/>
        </w:rPr>
      </w:pPr>
      <w:r w:rsidRPr="00ED5AD0">
        <w:rPr>
          <w:rFonts w:cs="Arial"/>
          <w:b/>
          <w:szCs w:val="24"/>
        </w:rPr>
        <w:t xml:space="preserve">Operational practices </w:t>
      </w:r>
    </w:p>
    <w:p w14:paraId="334C745A" w14:textId="1ABA440B"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We provide practical support to improve the wellbeing of employees. This is achieved through practical measures such as the “Employee Assistance Programme” available to all employees and designed to support employees through problems relating to mental health</w:t>
      </w:r>
      <w:r w:rsidR="00424671" w:rsidRPr="00ED5AD0">
        <w:rPr>
          <w:rFonts w:cs="Arial"/>
          <w:szCs w:val="24"/>
        </w:rPr>
        <w:t>,</w:t>
      </w:r>
      <w:r w:rsidRPr="00ED5AD0">
        <w:rPr>
          <w:rFonts w:cs="Arial"/>
          <w:szCs w:val="24"/>
        </w:rPr>
        <w:t xml:space="preserve"> financial and relationship difficulties.    </w:t>
      </w:r>
    </w:p>
    <w:p w14:paraId="17187CDC"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lastRenderedPageBreak/>
        <w:t>Adoption of flexible and agile working practices whenever practical to enable employees to deliver first rate service in ways that help them to balance personal and work commitments.</w:t>
      </w:r>
    </w:p>
    <w:p w14:paraId="217AC76F"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Access to an employee benefits package, “Gedling Lifestyle” that helps to maximise employees’ earnings.</w:t>
      </w:r>
    </w:p>
    <w:p w14:paraId="7E41BA0C"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 xml:space="preserve">Membership of “Our Gedling”, providing access for all employees to a range of events and activities designed to enhance personal wellbeing and health and to support a sense of community and engagement with work colleagues.   </w:t>
      </w:r>
    </w:p>
    <w:p w14:paraId="3A8B5E90"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 xml:space="preserve">Through active engagement with the workforce, employees’ perception of happiness in the workplace is measured and reported.  Issues of common concern are identified and actions developed to improve both employee wellbeing and workplace efficiency. </w:t>
      </w:r>
    </w:p>
    <w:p w14:paraId="0FB78C10" w14:textId="77777777" w:rsidR="00175585" w:rsidRPr="00ED5AD0" w:rsidRDefault="00175585" w:rsidP="00175585">
      <w:pPr>
        <w:ind w:left="426"/>
        <w:rPr>
          <w:rFonts w:cs="Arial"/>
          <w:b/>
          <w:sz w:val="28"/>
          <w:szCs w:val="28"/>
        </w:rPr>
      </w:pPr>
    </w:p>
    <w:p w14:paraId="0F84FBCF" w14:textId="77777777" w:rsidR="00175585" w:rsidRPr="00ED5AD0" w:rsidRDefault="00175585" w:rsidP="00175585">
      <w:pPr>
        <w:ind w:left="426"/>
        <w:rPr>
          <w:rFonts w:cs="Arial"/>
          <w:b/>
          <w:sz w:val="28"/>
          <w:szCs w:val="28"/>
        </w:rPr>
      </w:pPr>
      <w:r w:rsidRPr="00ED5AD0">
        <w:rPr>
          <w:rFonts w:cs="Arial"/>
          <w:b/>
          <w:sz w:val="28"/>
          <w:szCs w:val="28"/>
        </w:rPr>
        <w:t xml:space="preserve">Pay protection </w:t>
      </w:r>
    </w:p>
    <w:p w14:paraId="7BBCFE4D" w14:textId="77777777" w:rsidR="00175585" w:rsidRPr="00ED5AD0" w:rsidRDefault="00175585" w:rsidP="00175585">
      <w:pPr>
        <w:ind w:left="426"/>
        <w:rPr>
          <w:rFonts w:cs="Arial"/>
          <w:b/>
          <w:color w:val="000000"/>
          <w:szCs w:val="24"/>
        </w:rPr>
      </w:pPr>
    </w:p>
    <w:p w14:paraId="1C74C277" w14:textId="77777777" w:rsidR="00175585" w:rsidRPr="00ED5AD0" w:rsidRDefault="00175585" w:rsidP="00175585">
      <w:pPr>
        <w:ind w:left="426"/>
        <w:rPr>
          <w:rFonts w:cs="Arial"/>
          <w:b/>
          <w:color w:val="000000"/>
          <w:szCs w:val="24"/>
        </w:rPr>
      </w:pPr>
      <w:r w:rsidRPr="00ED5AD0">
        <w:rPr>
          <w:rFonts w:cs="Arial"/>
          <w:b/>
          <w:color w:val="000000"/>
          <w:szCs w:val="24"/>
        </w:rPr>
        <w:t>Strategic principles</w:t>
      </w:r>
    </w:p>
    <w:p w14:paraId="465517B0"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When possible and appropriate, employees will be redeployed within the organisation if they cannot continue to work in their current job.</w:t>
      </w:r>
    </w:p>
    <w:p w14:paraId="497A8737" w14:textId="77777777" w:rsidR="00175585" w:rsidRPr="00ED5AD0" w:rsidRDefault="00175585" w:rsidP="00175585">
      <w:pPr>
        <w:ind w:left="709"/>
        <w:rPr>
          <w:rFonts w:cs="Arial"/>
          <w:b/>
          <w:szCs w:val="24"/>
        </w:rPr>
      </w:pPr>
    </w:p>
    <w:p w14:paraId="7CA21F5F" w14:textId="77777777" w:rsidR="00175585" w:rsidRPr="00ED5AD0" w:rsidRDefault="00175585" w:rsidP="00175585">
      <w:pPr>
        <w:ind w:firstLine="426"/>
        <w:rPr>
          <w:rFonts w:cs="Arial"/>
          <w:szCs w:val="24"/>
        </w:rPr>
      </w:pPr>
      <w:r w:rsidRPr="00ED5AD0">
        <w:rPr>
          <w:rFonts w:cs="Arial"/>
          <w:b/>
          <w:szCs w:val="24"/>
        </w:rPr>
        <w:t>Operational practices</w:t>
      </w:r>
    </w:p>
    <w:p w14:paraId="729A69E8" w14:textId="77777777" w:rsidR="00175585" w:rsidRPr="00ED5AD0" w:rsidRDefault="00175585" w:rsidP="00D32888">
      <w:pPr>
        <w:numPr>
          <w:ilvl w:val="0"/>
          <w:numId w:val="32"/>
        </w:numPr>
        <w:spacing w:after="200" w:line="276" w:lineRule="auto"/>
        <w:ind w:left="709" w:hanging="283"/>
        <w:rPr>
          <w:rFonts w:cs="Arial"/>
          <w:szCs w:val="24"/>
        </w:rPr>
      </w:pPr>
      <w:r w:rsidRPr="00ED5AD0">
        <w:rPr>
          <w:rFonts w:cs="Arial"/>
          <w:szCs w:val="24"/>
        </w:rPr>
        <w:t>Employees redeployed to a lower paid job following service reorganisation will receive pay protection. The nature of this protection will be defined through local policy.</w:t>
      </w:r>
    </w:p>
    <w:p w14:paraId="28DDE6CA" w14:textId="77777777" w:rsidR="00175585" w:rsidRPr="00ED5AD0" w:rsidRDefault="00175585" w:rsidP="00175585">
      <w:pPr>
        <w:rPr>
          <w:rFonts w:cs="Arial"/>
          <w:sz w:val="28"/>
          <w:szCs w:val="28"/>
        </w:rPr>
      </w:pPr>
    </w:p>
    <w:p w14:paraId="63EB9073" w14:textId="77777777" w:rsidR="00175585" w:rsidRPr="00ED5AD0" w:rsidRDefault="00175585" w:rsidP="00175585">
      <w:pPr>
        <w:spacing w:line="276" w:lineRule="auto"/>
        <w:ind w:left="426"/>
        <w:rPr>
          <w:rFonts w:cs="Arial"/>
          <w:b/>
          <w:sz w:val="28"/>
          <w:szCs w:val="28"/>
        </w:rPr>
      </w:pPr>
      <w:r w:rsidRPr="00ED5AD0">
        <w:rPr>
          <w:rFonts w:cs="Arial"/>
          <w:b/>
          <w:sz w:val="28"/>
          <w:szCs w:val="28"/>
        </w:rPr>
        <w:t>Redundancy</w:t>
      </w:r>
    </w:p>
    <w:p w14:paraId="5F11670A" w14:textId="77777777" w:rsidR="00175585" w:rsidRPr="00ED5AD0" w:rsidRDefault="00175585" w:rsidP="00175585">
      <w:pPr>
        <w:ind w:left="426"/>
        <w:rPr>
          <w:rFonts w:cs="Arial"/>
          <w:b/>
          <w:color w:val="000000"/>
          <w:szCs w:val="24"/>
        </w:rPr>
      </w:pPr>
    </w:p>
    <w:p w14:paraId="39AACD9D" w14:textId="77777777" w:rsidR="00175585" w:rsidRPr="00ED5AD0" w:rsidRDefault="00175585" w:rsidP="00175585">
      <w:pPr>
        <w:ind w:left="426"/>
        <w:rPr>
          <w:rFonts w:cs="Arial"/>
          <w:b/>
          <w:color w:val="000000"/>
          <w:szCs w:val="24"/>
        </w:rPr>
      </w:pPr>
      <w:r w:rsidRPr="00ED5AD0">
        <w:rPr>
          <w:rFonts w:cs="Arial"/>
          <w:b/>
          <w:color w:val="000000"/>
          <w:szCs w:val="24"/>
        </w:rPr>
        <w:t>Strategic principles</w:t>
      </w:r>
    </w:p>
    <w:p w14:paraId="689ED7D9"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Where possible the Council aims to redeploy employees rather than to declare redundancy.</w:t>
      </w:r>
    </w:p>
    <w:p w14:paraId="30CB9B8A"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 xml:space="preserve">When this is not possible the Council will apply redundancy payments that recognise the need to balance support for the employee against the need to exercise appropriate restraint in the use of public money. </w:t>
      </w:r>
    </w:p>
    <w:p w14:paraId="0E1AD2B4" w14:textId="77777777" w:rsidR="00175585" w:rsidRPr="00ED5AD0" w:rsidRDefault="00175585" w:rsidP="00175585">
      <w:pPr>
        <w:ind w:left="709"/>
        <w:rPr>
          <w:rFonts w:cs="Arial"/>
          <w:b/>
          <w:szCs w:val="24"/>
        </w:rPr>
      </w:pPr>
    </w:p>
    <w:p w14:paraId="36120780" w14:textId="77777777" w:rsidR="00175585" w:rsidRPr="00ED5AD0" w:rsidRDefault="00175585" w:rsidP="00175585">
      <w:pPr>
        <w:ind w:firstLine="426"/>
        <w:rPr>
          <w:rFonts w:cs="Arial"/>
          <w:szCs w:val="24"/>
        </w:rPr>
      </w:pPr>
      <w:r w:rsidRPr="00ED5AD0">
        <w:rPr>
          <w:rFonts w:cs="Arial"/>
          <w:b/>
          <w:szCs w:val="24"/>
        </w:rPr>
        <w:t>Operational practices</w:t>
      </w:r>
    </w:p>
    <w:p w14:paraId="6CB6979C" w14:textId="77777777" w:rsidR="00175585" w:rsidRPr="00ED5AD0" w:rsidRDefault="00175585" w:rsidP="00D32888">
      <w:pPr>
        <w:numPr>
          <w:ilvl w:val="0"/>
          <w:numId w:val="32"/>
        </w:numPr>
        <w:spacing w:after="200" w:line="276" w:lineRule="auto"/>
        <w:ind w:left="709" w:hanging="283"/>
        <w:rPr>
          <w:rFonts w:cs="Arial"/>
          <w:szCs w:val="24"/>
        </w:rPr>
      </w:pPr>
      <w:r w:rsidRPr="00ED5AD0">
        <w:rPr>
          <w:rFonts w:cs="Arial"/>
          <w:szCs w:val="24"/>
        </w:rPr>
        <w:t xml:space="preserve">The Early Retirement and Redundancy Policy, and the Protocol for Enabling Employee Security documents are used to assist the transition of employees between posts in appropriate circumstances. </w:t>
      </w:r>
    </w:p>
    <w:p w14:paraId="33E31AE8" w14:textId="77777777" w:rsidR="00175585" w:rsidRPr="00ED5AD0" w:rsidRDefault="00175585" w:rsidP="00D32888">
      <w:pPr>
        <w:numPr>
          <w:ilvl w:val="0"/>
          <w:numId w:val="32"/>
        </w:numPr>
        <w:spacing w:after="200" w:line="276" w:lineRule="auto"/>
        <w:ind w:left="709" w:hanging="283"/>
        <w:rPr>
          <w:rFonts w:cs="Arial"/>
          <w:szCs w:val="24"/>
        </w:rPr>
      </w:pPr>
      <w:r w:rsidRPr="00ED5AD0">
        <w:rPr>
          <w:rFonts w:cs="Arial"/>
          <w:szCs w:val="24"/>
        </w:rPr>
        <w:t>Employees returning to work with the Council following redundancy from either our own organisation or a similar public sector organisation will have applied to them any financial penalty required either by legislation or through national terms and conditions.</w:t>
      </w:r>
    </w:p>
    <w:p w14:paraId="2A8C0B07" w14:textId="77777777" w:rsidR="00175585" w:rsidRPr="00ED5AD0" w:rsidRDefault="00175585" w:rsidP="00175585">
      <w:pPr>
        <w:ind w:left="426"/>
        <w:rPr>
          <w:rFonts w:cs="Arial"/>
          <w:b/>
          <w:sz w:val="28"/>
          <w:szCs w:val="28"/>
        </w:rPr>
      </w:pPr>
    </w:p>
    <w:p w14:paraId="598FCFBA" w14:textId="77777777" w:rsidR="00175585" w:rsidRPr="00ED5AD0" w:rsidRDefault="00175585" w:rsidP="00175585">
      <w:pPr>
        <w:ind w:left="426"/>
        <w:rPr>
          <w:rFonts w:cs="Arial"/>
          <w:b/>
          <w:sz w:val="28"/>
          <w:szCs w:val="28"/>
        </w:rPr>
      </w:pPr>
    </w:p>
    <w:p w14:paraId="7D20F7A5" w14:textId="77777777" w:rsidR="00175585" w:rsidRPr="00ED5AD0" w:rsidRDefault="00175585" w:rsidP="00570C15">
      <w:pPr>
        <w:spacing w:after="200" w:line="276" w:lineRule="auto"/>
        <w:rPr>
          <w:rFonts w:cs="Arial"/>
          <w:b/>
          <w:sz w:val="28"/>
          <w:szCs w:val="28"/>
        </w:rPr>
      </w:pPr>
      <w:r w:rsidRPr="00ED5AD0">
        <w:rPr>
          <w:rFonts w:cs="Arial"/>
          <w:b/>
          <w:sz w:val="28"/>
          <w:szCs w:val="28"/>
        </w:rPr>
        <w:br w:type="page"/>
      </w:r>
      <w:r w:rsidRPr="00ED5AD0">
        <w:rPr>
          <w:rFonts w:cs="Arial"/>
          <w:b/>
          <w:sz w:val="28"/>
          <w:szCs w:val="28"/>
        </w:rPr>
        <w:lastRenderedPageBreak/>
        <w:t>Pensions</w:t>
      </w:r>
    </w:p>
    <w:p w14:paraId="74C9766A" w14:textId="77777777" w:rsidR="00175585" w:rsidRPr="00ED5AD0" w:rsidRDefault="00175585" w:rsidP="00175585">
      <w:pPr>
        <w:ind w:left="426"/>
        <w:rPr>
          <w:rFonts w:cs="Arial"/>
          <w:b/>
          <w:color w:val="000000"/>
          <w:szCs w:val="24"/>
        </w:rPr>
      </w:pPr>
    </w:p>
    <w:p w14:paraId="6FD0BBEA" w14:textId="77777777" w:rsidR="00175585" w:rsidRPr="00ED5AD0" w:rsidRDefault="00175585" w:rsidP="00175585">
      <w:pPr>
        <w:ind w:left="426"/>
        <w:rPr>
          <w:rFonts w:cs="Arial"/>
          <w:b/>
          <w:color w:val="000000"/>
          <w:szCs w:val="24"/>
        </w:rPr>
      </w:pPr>
      <w:r w:rsidRPr="00ED5AD0">
        <w:rPr>
          <w:rFonts w:cs="Arial"/>
          <w:b/>
          <w:color w:val="000000"/>
          <w:szCs w:val="24"/>
        </w:rPr>
        <w:t>Strategic principles</w:t>
      </w:r>
    </w:p>
    <w:p w14:paraId="35C5E024"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 xml:space="preserve">Employees of the Council are eligible to participate in the local government pension scheme (LGPS).  </w:t>
      </w:r>
    </w:p>
    <w:p w14:paraId="0334A0B8"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As required by LGPS Regulations, the Council will maintain a set of local policy decisions relating to discretions available to employers under the scheme.</w:t>
      </w:r>
    </w:p>
    <w:p w14:paraId="15066BF1" w14:textId="77777777" w:rsidR="00175585" w:rsidRPr="00ED5AD0" w:rsidRDefault="00175585" w:rsidP="00D32888">
      <w:pPr>
        <w:numPr>
          <w:ilvl w:val="0"/>
          <w:numId w:val="31"/>
        </w:numPr>
        <w:spacing w:after="200" w:line="276" w:lineRule="auto"/>
        <w:ind w:left="709" w:hanging="283"/>
        <w:rPr>
          <w:rFonts w:cs="Arial"/>
          <w:szCs w:val="24"/>
        </w:rPr>
      </w:pPr>
      <w:r w:rsidRPr="00ED5AD0">
        <w:rPr>
          <w:rFonts w:cs="Arial"/>
          <w:szCs w:val="24"/>
        </w:rPr>
        <w:t xml:space="preserve">Discretions, formulated through appropriate committee of the Council, will recognise the need to balance support for the employee against the need to exercise appropriate restraint in the use of public money. </w:t>
      </w:r>
    </w:p>
    <w:p w14:paraId="3267BFC4" w14:textId="77777777" w:rsidR="00175585" w:rsidRPr="00ED5AD0" w:rsidRDefault="00175585" w:rsidP="00175585">
      <w:pPr>
        <w:ind w:left="709"/>
        <w:rPr>
          <w:rFonts w:cs="Arial"/>
          <w:b/>
          <w:szCs w:val="24"/>
        </w:rPr>
      </w:pPr>
    </w:p>
    <w:p w14:paraId="51348A0F" w14:textId="77777777" w:rsidR="00175585" w:rsidRPr="00ED5AD0" w:rsidRDefault="00175585" w:rsidP="00175585">
      <w:pPr>
        <w:ind w:firstLine="426"/>
        <w:rPr>
          <w:rFonts w:cs="Arial"/>
          <w:szCs w:val="24"/>
        </w:rPr>
      </w:pPr>
      <w:r w:rsidRPr="00ED5AD0">
        <w:rPr>
          <w:rFonts w:cs="Arial"/>
          <w:b/>
          <w:szCs w:val="24"/>
        </w:rPr>
        <w:t>Operational practices</w:t>
      </w:r>
    </w:p>
    <w:p w14:paraId="67A142B4" w14:textId="77777777" w:rsidR="00175585" w:rsidRPr="00ED5AD0" w:rsidRDefault="00175585" w:rsidP="00D32888">
      <w:pPr>
        <w:numPr>
          <w:ilvl w:val="0"/>
          <w:numId w:val="34"/>
        </w:numPr>
        <w:spacing w:after="200" w:line="276" w:lineRule="auto"/>
        <w:ind w:left="709" w:hanging="283"/>
        <w:contextualSpacing/>
        <w:rPr>
          <w:rFonts w:cs="Arial"/>
          <w:szCs w:val="24"/>
        </w:rPr>
      </w:pPr>
      <w:r w:rsidRPr="00ED5AD0">
        <w:rPr>
          <w:rFonts w:cs="Arial"/>
          <w:szCs w:val="24"/>
        </w:rPr>
        <w:t xml:space="preserve">The Council will maintain and publish a set of local pension discretions required by LGPS Regulations. </w:t>
      </w:r>
    </w:p>
    <w:p w14:paraId="3088EAC1" w14:textId="77777777" w:rsidR="00175585" w:rsidRPr="00ED5AD0" w:rsidRDefault="00175585" w:rsidP="00175585">
      <w:pPr>
        <w:spacing w:line="276" w:lineRule="auto"/>
        <w:rPr>
          <w:rFonts w:eastAsia="Calibri"/>
          <w:sz w:val="28"/>
          <w:szCs w:val="28"/>
        </w:rPr>
      </w:pPr>
    </w:p>
    <w:p w14:paraId="0FA2AF28" w14:textId="77777777" w:rsidR="00175585" w:rsidRPr="00ED5AD0" w:rsidRDefault="00175585" w:rsidP="00175585">
      <w:pPr>
        <w:spacing w:line="276" w:lineRule="auto"/>
        <w:rPr>
          <w:rFonts w:eastAsia="Calibri"/>
          <w:sz w:val="28"/>
          <w:szCs w:val="28"/>
        </w:rPr>
      </w:pPr>
    </w:p>
    <w:p w14:paraId="6F26381E" w14:textId="77777777" w:rsidR="00175585" w:rsidRPr="00ED5AD0" w:rsidRDefault="00175585" w:rsidP="00175585">
      <w:pPr>
        <w:spacing w:line="276" w:lineRule="auto"/>
        <w:ind w:left="426"/>
        <w:rPr>
          <w:rFonts w:eastAsia="Calibri"/>
          <w:b/>
          <w:sz w:val="28"/>
          <w:szCs w:val="28"/>
        </w:rPr>
      </w:pPr>
      <w:r w:rsidRPr="00ED5AD0">
        <w:rPr>
          <w:rFonts w:eastAsia="Calibri"/>
          <w:b/>
          <w:sz w:val="28"/>
          <w:szCs w:val="28"/>
        </w:rPr>
        <w:t>Legislation</w:t>
      </w:r>
    </w:p>
    <w:p w14:paraId="2843C5A5" w14:textId="77777777" w:rsidR="00175585" w:rsidRPr="00ED5AD0" w:rsidRDefault="00175585" w:rsidP="00175585">
      <w:pPr>
        <w:spacing w:line="276" w:lineRule="auto"/>
        <w:ind w:left="426"/>
        <w:rPr>
          <w:rFonts w:eastAsia="Calibri"/>
          <w:b/>
          <w:szCs w:val="24"/>
        </w:rPr>
      </w:pPr>
    </w:p>
    <w:p w14:paraId="4B021066" w14:textId="77777777" w:rsidR="00175585" w:rsidRPr="00ED5AD0" w:rsidRDefault="00175585" w:rsidP="00175585">
      <w:pPr>
        <w:spacing w:line="276" w:lineRule="auto"/>
        <w:ind w:left="426"/>
        <w:rPr>
          <w:rFonts w:eastAsia="Calibri"/>
          <w:b/>
          <w:szCs w:val="24"/>
        </w:rPr>
      </w:pPr>
      <w:r w:rsidRPr="00ED5AD0">
        <w:rPr>
          <w:rFonts w:eastAsia="Calibri"/>
          <w:b/>
          <w:szCs w:val="24"/>
        </w:rPr>
        <w:t>Strategic principles</w:t>
      </w:r>
    </w:p>
    <w:p w14:paraId="293C0182" w14:textId="77777777" w:rsidR="00175585" w:rsidRPr="00ED5AD0" w:rsidRDefault="00175585" w:rsidP="00D32888">
      <w:pPr>
        <w:numPr>
          <w:ilvl w:val="0"/>
          <w:numId w:val="34"/>
        </w:numPr>
        <w:spacing w:after="200" w:line="276" w:lineRule="auto"/>
        <w:ind w:left="709" w:hanging="283"/>
        <w:contextualSpacing/>
        <w:rPr>
          <w:rFonts w:eastAsia="Calibri"/>
          <w:szCs w:val="24"/>
        </w:rPr>
      </w:pPr>
      <w:r w:rsidRPr="00ED5AD0">
        <w:rPr>
          <w:rFonts w:eastAsia="Calibri"/>
          <w:szCs w:val="24"/>
        </w:rPr>
        <w:t>The Council will ensure that pay and remuneration is treated correctly within relevant legislation.</w:t>
      </w:r>
    </w:p>
    <w:p w14:paraId="7E1293A4" w14:textId="77777777" w:rsidR="00175585" w:rsidRPr="00ED5AD0" w:rsidRDefault="00175585" w:rsidP="00175585">
      <w:pPr>
        <w:spacing w:line="276" w:lineRule="auto"/>
        <w:ind w:left="709"/>
        <w:contextualSpacing/>
        <w:rPr>
          <w:rFonts w:eastAsia="Calibri"/>
          <w:szCs w:val="24"/>
        </w:rPr>
      </w:pPr>
    </w:p>
    <w:p w14:paraId="29B6FC5B" w14:textId="77777777" w:rsidR="00175585" w:rsidRPr="00ED5AD0" w:rsidRDefault="00175585" w:rsidP="00175585">
      <w:pPr>
        <w:spacing w:line="276" w:lineRule="auto"/>
        <w:ind w:firstLine="426"/>
        <w:rPr>
          <w:rFonts w:eastAsia="Calibri"/>
          <w:b/>
          <w:szCs w:val="24"/>
        </w:rPr>
      </w:pPr>
      <w:r w:rsidRPr="00ED5AD0">
        <w:rPr>
          <w:rFonts w:eastAsia="Calibri"/>
          <w:b/>
          <w:szCs w:val="24"/>
        </w:rPr>
        <w:t>Operational practices</w:t>
      </w:r>
    </w:p>
    <w:p w14:paraId="6BFBF99C" w14:textId="77777777" w:rsidR="00175585" w:rsidRPr="00ED5AD0" w:rsidRDefault="00175585" w:rsidP="00D32888">
      <w:pPr>
        <w:numPr>
          <w:ilvl w:val="0"/>
          <w:numId w:val="34"/>
        </w:numPr>
        <w:spacing w:after="200" w:line="276" w:lineRule="auto"/>
        <w:ind w:left="709" w:hanging="283"/>
        <w:contextualSpacing/>
        <w:rPr>
          <w:rFonts w:eastAsia="Calibri"/>
          <w:szCs w:val="22"/>
        </w:rPr>
      </w:pPr>
      <w:r w:rsidRPr="00ED5AD0">
        <w:rPr>
          <w:rFonts w:eastAsia="Calibri"/>
          <w:szCs w:val="22"/>
        </w:rPr>
        <w:t>Tax and other statutory deductions including national insurance contributions will be made within legislation and under guidance of government agencies for employees, workers and contractors.</w:t>
      </w:r>
    </w:p>
    <w:p w14:paraId="3CA3CB9C" w14:textId="77777777" w:rsidR="00175585" w:rsidRPr="00ED5AD0" w:rsidRDefault="00175585" w:rsidP="00175585">
      <w:pPr>
        <w:spacing w:after="200" w:line="276" w:lineRule="auto"/>
        <w:ind w:left="709"/>
        <w:contextualSpacing/>
        <w:rPr>
          <w:rFonts w:eastAsia="Calibri"/>
          <w:szCs w:val="22"/>
        </w:rPr>
      </w:pPr>
    </w:p>
    <w:p w14:paraId="72C6F5E9" w14:textId="77777777" w:rsidR="00175585" w:rsidRPr="00ED5AD0" w:rsidRDefault="00175585" w:rsidP="00175585">
      <w:pPr>
        <w:spacing w:after="200" w:line="276" w:lineRule="auto"/>
        <w:ind w:left="426"/>
        <w:rPr>
          <w:rFonts w:eastAsia="Calibri"/>
          <w:b/>
          <w:szCs w:val="24"/>
        </w:rPr>
      </w:pPr>
      <w:r w:rsidRPr="00ED5AD0">
        <w:rPr>
          <w:rFonts w:eastAsia="Calibri"/>
          <w:b/>
          <w:szCs w:val="24"/>
        </w:rPr>
        <w:t xml:space="preserve"> </w:t>
      </w:r>
    </w:p>
    <w:p w14:paraId="55D4EE78" w14:textId="77777777" w:rsidR="00175585" w:rsidRPr="00ED5AD0" w:rsidRDefault="00175585" w:rsidP="00175585">
      <w:pPr>
        <w:spacing w:after="200" w:line="276" w:lineRule="auto"/>
        <w:rPr>
          <w:rFonts w:eastAsia="Calibri"/>
          <w:b/>
          <w:szCs w:val="24"/>
        </w:rPr>
      </w:pPr>
      <w:r w:rsidRPr="00ED5AD0">
        <w:rPr>
          <w:rFonts w:eastAsia="Calibri"/>
          <w:b/>
          <w:szCs w:val="24"/>
        </w:rPr>
        <w:br w:type="page"/>
      </w:r>
    </w:p>
    <w:p w14:paraId="64CD5120" w14:textId="77777777" w:rsidR="00175585" w:rsidRPr="00ED5AD0" w:rsidRDefault="00175585" w:rsidP="00175585">
      <w:pPr>
        <w:spacing w:after="200" w:line="276" w:lineRule="auto"/>
        <w:ind w:left="426"/>
        <w:rPr>
          <w:rFonts w:eastAsia="Calibri"/>
          <w:b/>
          <w:bCs/>
          <w:sz w:val="28"/>
          <w:szCs w:val="28"/>
        </w:rPr>
      </w:pPr>
    </w:p>
    <w:p w14:paraId="33AE292B" w14:textId="77777777" w:rsidR="00175585" w:rsidRPr="00ED5AD0" w:rsidRDefault="00175585" w:rsidP="00175585">
      <w:pPr>
        <w:spacing w:after="200" w:line="276" w:lineRule="auto"/>
        <w:jc w:val="right"/>
        <w:rPr>
          <w:rFonts w:eastAsia="Calibri"/>
          <w:b/>
          <w:bCs/>
          <w:szCs w:val="22"/>
        </w:rPr>
      </w:pPr>
      <w:r w:rsidRPr="00ED5AD0">
        <w:rPr>
          <w:rFonts w:eastAsia="Calibri"/>
          <w:b/>
          <w:bCs/>
          <w:szCs w:val="22"/>
        </w:rPr>
        <w:t>Document 1</w:t>
      </w:r>
    </w:p>
    <w:p w14:paraId="3B6E29B8" w14:textId="77777777" w:rsidR="00175585" w:rsidRPr="00ED5AD0" w:rsidRDefault="00175585" w:rsidP="00175585">
      <w:pPr>
        <w:spacing w:after="200" w:line="276" w:lineRule="auto"/>
        <w:jc w:val="center"/>
        <w:rPr>
          <w:rFonts w:eastAsia="Calibri"/>
          <w:b/>
          <w:szCs w:val="22"/>
        </w:rPr>
      </w:pPr>
      <w:r w:rsidRPr="00ED5AD0">
        <w:rPr>
          <w:rFonts w:eastAsia="Calibri"/>
          <w:b/>
          <w:szCs w:val="22"/>
        </w:rPr>
        <w:t>Policy statement to link pay to performance; NJC employees</w:t>
      </w:r>
    </w:p>
    <w:p w14:paraId="0C433C2F" w14:textId="7595CF6E" w:rsidR="00175585" w:rsidRPr="00ED5AD0" w:rsidRDefault="00175585" w:rsidP="00D32888">
      <w:pPr>
        <w:numPr>
          <w:ilvl w:val="0"/>
          <w:numId w:val="33"/>
        </w:numPr>
        <w:spacing w:after="200" w:line="276" w:lineRule="auto"/>
        <w:contextualSpacing/>
        <w:rPr>
          <w:rFonts w:cs="Arial"/>
          <w:szCs w:val="24"/>
        </w:rPr>
      </w:pPr>
      <w:proofErr w:type="gramStart"/>
      <w:r w:rsidRPr="00ED5AD0">
        <w:rPr>
          <w:rFonts w:cs="Arial"/>
          <w:szCs w:val="24"/>
        </w:rPr>
        <w:t>Usually</w:t>
      </w:r>
      <w:proofErr w:type="gramEnd"/>
      <w:r w:rsidRPr="00ED5AD0">
        <w:rPr>
          <w:rFonts w:cs="Arial"/>
          <w:szCs w:val="24"/>
        </w:rPr>
        <w:t xml:space="preserve"> employees appointed to a new post will start at the bottom incremental point of the grade for the post.  Where it can be demonstrated through the selection process that the appointee has relevant experience or qualifications, the </w:t>
      </w:r>
      <w:r w:rsidR="00DB58DC" w:rsidRPr="00ED5AD0">
        <w:rPr>
          <w:rFonts w:cs="Arial"/>
          <w:szCs w:val="24"/>
        </w:rPr>
        <w:t xml:space="preserve">Assistant </w:t>
      </w:r>
      <w:r w:rsidR="005103EB" w:rsidRPr="00ED5AD0">
        <w:rPr>
          <w:rFonts w:cs="Arial"/>
          <w:szCs w:val="24"/>
        </w:rPr>
        <w:t>Director</w:t>
      </w:r>
      <w:r w:rsidRPr="00ED5AD0">
        <w:rPr>
          <w:rFonts w:cs="Arial"/>
          <w:szCs w:val="24"/>
        </w:rPr>
        <w:t xml:space="preserve"> may elect to appoint at a higher incremental point. </w:t>
      </w:r>
    </w:p>
    <w:p w14:paraId="0A687D5E" w14:textId="77777777" w:rsidR="00175585" w:rsidRPr="00ED5AD0" w:rsidRDefault="00175585" w:rsidP="00175585">
      <w:pPr>
        <w:ind w:left="786"/>
        <w:contextualSpacing/>
        <w:rPr>
          <w:rFonts w:cs="Arial"/>
          <w:szCs w:val="24"/>
        </w:rPr>
      </w:pPr>
    </w:p>
    <w:p w14:paraId="659E2BA7"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Employees will progress to the next incremental point on their grade on 1 April of each year except where the employee has been in post less than six months.  When an employee has been in post for less than six months </w:t>
      </w:r>
      <w:proofErr w:type="gramStart"/>
      <w:r w:rsidRPr="00ED5AD0">
        <w:rPr>
          <w:rFonts w:cs="Arial"/>
          <w:szCs w:val="24"/>
        </w:rPr>
        <w:t>at</w:t>
      </w:r>
      <w:proofErr w:type="gramEnd"/>
      <w:r w:rsidRPr="00ED5AD0">
        <w:rPr>
          <w:rFonts w:cs="Arial"/>
          <w:szCs w:val="24"/>
        </w:rPr>
        <w:t xml:space="preserve"> 1 April, they will progress to the next incremental point six months after appointment and thereafter on 1 April each year. This reflects national NJC conditions of service. </w:t>
      </w:r>
    </w:p>
    <w:p w14:paraId="7FFDA1D2" w14:textId="77777777" w:rsidR="00175585" w:rsidRPr="00ED5AD0" w:rsidRDefault="00175585" w:rsidP="00175585">
      <w:pPr>
        <w:ind w:left="786"/>
        <w:contextualSpacing/>
        <w:rPr>
          <w:rFonts w:cs="Arial"/>
          <w:szCs w:val="24"/>
        </w:rPr>
      </w:pPr>
    </w:p>
    <w:p w14:paraId="4035F4AB" w14:textId="2F3FA29A"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Employees will normally progress automatically through the incremental scale as described above. In the exceptional circumstances that an employee is not meeting standards of performance or behaviour required then the </w:t>
      </w:r>
      <w:r w:rsidR="00DB58DC" w:rsidRPr="00ED5AD0">
        <w:rPr>
          <w:rFonts w:cs="Arial"/>
          <w:szCs w:val="24"/>
        </w:rPr>
        <w:t xml:space="preserve">Assistant </w:t>
      </w:r>
      <w:r w:rsidR="005103EB" w:rsidRPr="00ED5AD0">
        <w:rPr>
          <w:rFonts w:cs="Arial"/>
          <w:szCs w:val="24"/>
        </w:rPr>
        <w:t>Director</w:t>
      </w:r>
      <w:r w:rsidRPr="00ED5AD0">
        <w:rPr>
          <w:rFonts w:cs="Arial"/>
          <w:szCs w:val="24"/>
        </w:rPr>
        <w:t xml:space="preserve">, after consultation with a </w:t>
      </w:r>
      <w:r w:rsidR="00DB58DC" w:rsidRPr="00ED5AD0">
        <w:rPr>
          <w:rFonts w:cs="Arial"/>
          <w:szCs w:val="24"/>
        </w:rPr>
        <w:t>s</w:t>
      </w:r>
      <w:r w:rsidRPr="00ED5AD0">
        <w:rPr>
          <w:rFonts w:cs="Arial"/>
          <w:szCs w:val="24"/>
        </w:rPr>
        <w:t xml:space="preserve">enior HR </w:t>
      </w:r>
      <w:r w:rsidR="00DB58DC" w:rsidRPr="00ED5AD0">
        <w:rPr>
          <w:rFonts w:cs="Arial"/>
          <w:szCs w:val="24"/>
        </w:rPr>
        <w:t>o</w:t>
      </w:r>
      <w:r w:rsidRPr="00ED5AD0">
        <w:rPr>
          <w:rFonts w:cs="Arial"/>
          <w:szCs w:val="24"/>
        </w:rPr>
        <w:t>fficer, may withhold an increment.  Any such action will be supported by an adverse probation report, extension of probationary service or other formal performance review mechanism.</w:t>
      </w:r>
    </w:p>
    <w:p w14:paraId="70F815DD" w14:textId="77777777" w:rsidR="00175585" w:rsidRPr="00ED5AD0" w:rsidRDefault="00175585" w:rsidP="00175585">
      <w:pPr>
        <w:ind w:left="426"/>
        <w:rPr>
          <w:rFonts w:cs="Arial"/>
          <w:szCs w:val="24"/>
        </w:rPr>
      </w:pPr>
    </w:p>
    <w:p w14:paraId="786BC601"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The reasons for withholding an increment will be explained to the employee and guidance given about areas for improvement such that incremental progression can continue when standards are met.</w:t>
      </w:r>
    </w:p>
    <w:p w14:paraId="599804FB" w14:textId="77777777" w:rsidR="00175585" w:rsidRPr="00ED5AD0" w:rsidRDefault="00175585" w:rsidP="00175585">
      <w:pPr>
        <w:ind w:left="786"/>
        <w:contextualSpacing/>
        <w:rPr>
          <w:rFonts w:cs="Arial"/>
          <w:szCs w:val="24"/>
        </w:rPr>
      </w:pPr>
    </w:p>
    <w:p w14:paraId="3803EB53" w14:textId="3B91F73D"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Where an employee is dissatisfied with the reasons for withholding an annual increment, they may appeal in writing to the Chief Executive or other nominated JNC senior officer who will review the decision of the </w:t>
      </w:r>
      <w:r w:rsidR="00DB58DC" w:rsidRPr="00ED5AD0">
        <w:rPr>
          <w:rFonts w:cs="Arial"/>
          <w:szCs w:val="24"/>
        </w:rPr>
        <w:t xml:space="preserve">Assistant </w:t>
      </w:r>
      <w:r w:rsidR="005103EB" w:rsidRPr="00ED5AD0">
        <w:rPr>
          <w:rFonts w:cs="Arial"/>
          <w:szCs w:val="24"/>
        </w:rPr>
        <w:t>Director</w:t>
      </w:r>
      <w:r w:rsidRPr="00ED5AD0">
        <w:rPr>
          <w:rFonts w:cs="Arial"/>
          <w:szCs w:val="24"/>
        </w:rPr>
        <w:t xml:space="preserve">. This appeal is final. </w:t>
      </w:r>
    </w:p>
    <w:p w14:paraId="09679656" w14:textId="77777777" w:rsidR="00175585" w:rsidRPr="00ED5AD0" w:rsidRDefault="00175585" w:rsidP="008E6256">
      <w:pPr>
        <w:spacing w:after="200" w:line="276" w:lineRule="auto"/>
        <w:jc w:val="right"/>
        <w:rPr>
          <w:rFonts w:eastAsia="Calibri"/>
          <w:b/>
          <w:bCs/>
          <w:szCs w:val="22"/>
        </w:rPr>
      </w:pPr>
      <w:r w:rsidRPr="00ED5AD0">
        <w:rPr>
          <w:rFonts w:eastAsia="Calibri"/>
          <w:szCs w:val="22"/>
        </w:rPr>
        <w:br w:type="page"/>
      </w:r>
      <w:r w:rsidRPr="00ED5AD0">
        <w:rPr>
          <w:rFonts w:eastAsia="Calibri"/>
          <w:b/>
          <w:bCs/>
          <w:szCs w:val="22"/>
        </w:rPr>
        <w:lastRenderedPageBreak/>
        <w:t>Document 2</w:t>
      </w:r>
    </w:p>
    <w:p w14:paraId="65FF2A25" w14:textId="06F36F57" w:rsidR="00175585" w:rsidRPr="00ED5AD0" w:rsidRDefault="00175585" w:rsidP="00175585">
      <w:pPr>
        <w:spacing w:after="200" w:line="276" w:lineRule="auto"/>
        <w:jc w:val="center"/>
        <w:rPr>
          <w:rFonts w:eastAsia="Calibri"/>
          <w:b/>
          <w:szCs w:val="22"/>
        </w:rPr>
      </w:pPr>
      <w:r w:rsidRPr="00ED5AD0">
        <w:rPr>
          <w:rFonts w:eastAsia="Calibri"/>
          <w:b/>
          <w:szCs w:val="22"/>
        </w:rPr>
        <w:t xml:space="preserve">Contractual terms to link pay to </w:t>
      </w:r>
      <w:proofErr w:type="gramStart"/>
      <w:r w:rsidRPr="00ED5AD0">
        <w:rPr>
          <w:rFonts w:eastAsia="Calibri"/>
          <w:b/>
          <w:szCs w:val="22"/>
        </w:rPr>
        <w:t>performance;</w:t>
      </w:r>
      <w:proofErr w:type="gramEnd"/>
      <w:r w:rsidRPr="00ED5AD0">
        <w:rPr>
          <w:rFonts w:eastAsia="Calibri"/>
          <w:b/>
          <w:szCs w:val="22"/>
        </w:rPr>
        <w:t xml:space="preserve"> </w:t>
      </w:r>
      <w:r w:rsidR="008E6256" w:rsidRPr="00ED5AD0">
        <w:rPr>
          <w:rFonts w:eastAsia="Calibri"/>
          <w:b/>
          <w:szCs w:val="22"/>
        </w:rPr>
        <w:t xml:space="preserve">Chief Executive and </w:t>
      </w:r>
      <w:r w:rsidR="005103EB" w:rsidRPr="00ED5AD0">
        <w:rPr>
          <w:rFonts w:eastAsia="Calibri"/>
          <w:b/>
          <w:szCs w:val="22"/>
        </w:rPr>
        <w:t>Director</w:t>
      </w:r>
      <w:r w:rsidR="008E6256" w:rsidRPr="00ED5AD0">
        <w:rPr>
          <w:rFonts w:eastAsia="Calibri"/>
          <w:b/>
          <w:szCs w:val="22"/>
        </w:rPr>
        <w:t>s</w:t>
      </w:r>
    </w:p>
    <w:p w14:paraId="0900C388" w14:textId="77777777" w:rsidR="008E6256" w:rsidRPr="00ED5AD0" w:rsidRDefault="008E6256" w:rsidP="008E6256">
      <w:pPr>
        <w:rPr>
          <w:rFonts w:eastAsia="Calibri"/>
          <w:szCs w:val="22"/>
        </w:rPr>
      </w:pPr>
      <w:r w:rsidRPr="00ED5AD0">
        <w:rPr>
          <w:rFonts w:eastAsia="Calibri"/>
          <w:szCs w:val="22"/>
        </w:rPr>
        <w:t>Chief Executive; Pay and Performance Policy</w:t>
      </w:r>
    </w:p>
    <w:p w14:paraId="7D59F612" w14:textId="77777777" w:rsidR="008E6256" w:rsidRPr="00ED5AD0" w:rsidRDefault="008E6256" w:rsidP="008E6256">
      <w:pPr>
        <w:rPr>
          <w:rFonts w:eastAsia="Calibri"/>
          <w:sz w:val="18"/>
          <w:szCs w:val="18"/>
        </w:rPr>
      </w:pPr>
    </w:p>
    <w:p w14:paraId="7F41FD2E" w14:textId="77777777" w:rsidR="008E6256" w:rsidRPr="00ED5AD0" w:rsidRDefault="008E6256" w:rsidP="00D32888">
      <w:pPr>
        <w:numPr>
          <w:ilvl w:val="0"/>
          <w:numId w:val="35"/>
        </w:numPr>
        <w:spacing w:after="240"/>
        <w:rPr>
          <w:rFonts w:eastAsia="Calibri"/>
          <w:szCs w:val="22"/>
        </w:rPr>
      </w:pPr>
      <w:r w:rsidRPr="00ED5AD0">
        <w:rPr>
          <w:rFonts w:eastAsia="Calibri"/>
          <w:szCs w:val="22"/>
        </w:rPr>
        <w:t xml:space="preserve">The ACSC will determine to which point within the scale the appointment will be made </w:t>
      </w:r>
      <w:proofErr w:type="gramStart"/>
      <w:r w:rsidRPr="00ED5AD0">
        <w:rPr>
          <w:rFonts w:eastAsia="Calibri"/>
          <w:szCs w:val="22"/>
        </w:rPr>
        <w:t>taking into account</w:t>
      </w:r>
      <w:proofErr w:type="gramEnd"/>
      <w:r w:rsidRPr="00ED5AD0">
        <w:rPr>
          <w:rFonts w:eastAsia="Calibri"/>
          <w:szCs w:val="22"/>
        </w:rPr>
        <w:t xml:space="preserve"> appropriate experience and skill set. </w:t>
      </w:r>
    </w:p>
    <w:p w14:paraId="219ADC9A" w14:textId="77777777" w:rsidR="008E6256" w:rsidRPr="00ED5AD0" w:rsidRDefault="008E6256" w:rsidP="00D32888">
      <w:pPr>
        <w:numPr>
          <w:ilvl w:val="0"/>
          <w:numId w:val="35"/>
        </w:numPr>
        <w:spacing w:after="240"/>
        <w:rPr>
          <w:rFonts w:eastAsia="Calibri"/>
          <w:szCs w:val="22"/>
        </w:rPr>
      </w:pPr>
      <w:r w:rsidRPr="00ED5AD0">
        <w:rPr>
          <w:rFonts w:eastAsia="Calibri"/>
          <w:szCs w:val="22"/>
        </w:rPr>
        <w:t>A formal performance and pay review will be conducted annually prior to the anniversary of appointment.</w:t>
      </w:r>
    </w:p>
    <w:p w14:paraId="4D0DC268" w14:textId="77777777" w:rsidR="008E6256" w:rsidRPr="00ED5AD0" w:rsidRDefault="008E6256" w:rsidP="00D32888">
      <w:pPr>
        <w:numPr>
          <w:ilvl w:val="0"/>
          <w:numId w:val="35"/>
        </w:numPr>
        <w:spacing w:after="240"/>
        <w:rPr>
          <w:rFonts w:eastAsia="Calibri"/>
          <w:szCs w:val="22"/>
        </w:rPr>
      </w:pPr>
      <w:r w:rsidRPr="00ED5AD0">
        <w:rPr>
          <w:rFonts w:eastAsia="Calibri"/>
          <w:szCs w:val="22"/>
        </w:rPr>
        <w:t xml:space="preserve">The performance and pay review will be conducted by the ACSC. </w:t>
      </w:r>
    </w:p>
    <w:p w14:paraId="23E7EE0B" w14:textId="77777777" w:rsidR="008E6256" w:rsidRPr="00ED5AD0" w:rsidRDefault="008E6256" w:rsidP="00D32888">
      <w:pPr>
        <w:numPr>
          <w:ilvl w:val="0"/>
          <w:numId w:val="35"/>
        </w:numPr>
        <w:spacing w:after="240"/>
        <w:rPr>
          <w:rFonts w:eastAsia="Calibri"/>
          <w:szCs w:val="22"/>
        </w:rPr>
      </w:pPr>
      <w:r w:rsidRPr="00ED5AD0">
        <w:rPr>
          <w:rFonts w:eastAsia="Calibri"/>
          <w:szCs w:val="22"/>
        </w:rPr>
        <w:t xml:space="preserve">Should the ACSC determine that performance meets or exceeds the expected standards then annual progression of pay will be applied until the top pay point of the scale is reached. Once the top pay point is reached pay will remain at this level whilst performance continues to meet or exceed expected standards. </w:t>
      </w:r>
    </w:p>
    <w:p w14:paraId="13A3E2CE" w14:textId="77777777" w:rsidR="008E6256" w:rsidRPr="00ED5AD0" w:rsidRDefault="008E6256" w:rsidP="00D32888">
      <w:pPr>
        <w:numPr>
          <w:ilvl w:val="0"/>
          <w:numId w:val="35"/>
        </w:numPr>
        <w:spacing w:after="240"/>
        <w:rPr>
          <w:rFonts w:eastAsia="Calibri"/>
          <w:szCs w:val="22"/>
        </w:rPr>
      </w:pPr>
      <w:r w:rsidRPr="00ED5AD0">
        <w:rPr>
          <w:rFonts w:eastAsia="Calibri"/>
          <w:szCs w:val="22"/>
        </w:rPr>
        <w:t>Should the ACSC determine that performance is unsatisfactory then consideration will be given to applying the following process relating to pay:</w:t>
      </w:r>
    </w:p>
    <w:p w14:paraId="1140C544" w14:textId="77777777" w:rsidR="008E6256" w:rsidRPr="00ED5AD0" w:rsidRDefault="008E6256" w:rsidP="008E6256">
      <w:pPr>
        <w:ind w:left="851" w:hanging="141"/>
        <w:rPr>
          <w:rFonts w:eastAsia="Calibri"/>
          <w:szCs w:val="22"/>
        </w:rPr>
      </w:pPr>
      <w:r w:rsidRPr="00ED5AD0">
        <w:rPr>
          <w:rFonts w:eastAsia="Calibri"/>
          <w:szCs w:val="22"/>
        </w:rPr>
        <w:t xml:space="preserve">- if the post holder is at the bottom or middle point of the pay scale at the time of the review then there will be no progression to the next pay point until a future review by the ACSC confirms satisfactory performance. This review will normally take place a year later although the ACSC may choose to conduct an interim review at an earlier date if this is appropriate. </w:t>
      </w:r>
    </w:p>
    <w:p w14:paraId="7CDC7FAA" w14:textId="77777777" w:rsidR="008E6256" w:rsidRPr="00ED5AD0" w:rsidRDefault="008E6256" w:rsidP="008E6256">
      <w:pPr>
        <w:ind w:left="851" w:hanging="141"/>
        <w:rPr>
          <w:rFonts w:eastAsia="Calibri"/>
          <w:sz w:val="16"/>
          <w:szCs w:val="16"/>
        </w:rPr>
      </w:pPr>
    </w:p>
    <w:p w14:paraId="321AA547" w14:textId="77777777" w:rsidR="008E6256" w:rsidRPr="00ED5AD0" w:rsidRDefault="008E6256" w:rsidP="00F67E8B">
      <w:pPr>
        <w:ind w:left="851" w:hanging="141"/>
        <w:rPr>
          <w:rFonts w:eastAsia="Calibri"/>
          <w:szCs w:val="22"/>
        </w:rPr>
      </w:pPr>
      <w:r w:rsidRPr="00ED5AD0">
        <w:rPr>
          <w:rFonts w:eastAsia="Calibri"/>
          <w:szCs w:val="22"/>
        </w:rPr>
        <w:t xml:space="preserve">- if the post holder is at the top point of the pay scale at the time of the </w:t>
      </w:r>
      <w:proofErr w:type="gramStart"/>
      <w:r w:rsidRPr="00ED5AD0">
        <w:rPr>
          <w:rFonts w:eastAsia="Calibri"/>
          <w:szCs w:val="22"/>
        </w:rPr>
        <w:t>review</w:t>
      </w:r>
      <w:proofErr w:type="gramEnd"/>
      <w:r w:rsidRPr="00ED5AD0">
        <w:rPr>
          <w:rFonts w:eastAsia="Calibri"/>
          <w:szCs w:val="22"/>
        </w:rPr>
        <w:t xml:space="preserve"> then from the anniversary of the appointment date pay will be reduced to the middle point of the pay scale and held at that point until satisfactory performance is confirmed through a future review which will be undertaken as described above. </w:t>
      </w:r>
    </w:p>
    <w:p w14:paraId="43436CD5" w14:textId="77777777" w:rsidR="00F67E8B" w:rsidRPr="00ED5AD0" w:rsidRDefault="00F67E8B" w:rsidP="00F67E8B">
      <w:pPr>
        <w:spacing w:line="276" w:lineRule="auto"/>
        <w:rPr>
          <w:rFonts w:eastAsia="Calibri"/>
          <w:szCs w:val="22"/>
          <w:lang w:val="en-US"/>
        </w:rPr>
      </w:pPr>
    </w:p>
    <w:p w14:paraId="0CB311A1" w14:textId="459DDB04" w:rsidR="00F67E8B" w:rsidRPr="00ED5AD0" w:rsidRDefault="005103EB" w:rsidP="00F67E8B">
      <w:pPr>
        <w:spacing w:line="276" w:lineRule="auto"/>
        <w:rPr>
          <w:rFonts w:eastAsia="Calibri"/>
          <w:szCs w:val="22"/>
          <w:lang w:val="en-US"/>
        </w:rPr>
      </w:pPr>
      <w:r w:rsidRPr="00ED5AD0">
        <w:rPr>
          <w:rFonts w:eastAsia="Calibri"/>
          <w:szCs w:val="22"/>
          <w:lang w:val="en-US"/>
        </w:rPr>
        <w:t>Director</w:t>
      </w:r>
      <w:r w:rsidR="00175585" w:rsidRPr="00ED5AD0">
        <w:rPr>
          <w:rFonts w:eastAsia="Calibri"/>
          <w:szCs w:val="22"/>
          <w:lang w:val="en-US"/>
        </w:rPr>
        <w:t>; Pay and Performance Policy</w:t>
      </w:r>
    </w:p>
    <w:p w14:paraId="4CB816B1" w14:textId="056DB747" w:rsidR="00F67E8B" w:rsidRPr="00ED5AD0" w:rsidRDefault="00F67E8B" w:rsidP="00D32888">
      <w:pPr>
        <w:numPr>
          <w:ilvl w:val="0"/>
          <w:numId w:val="41"/>
        </w:numPr>
        <w:rPr>
          <w:rFonts w:cs="Arial"/>
          <w:color w:val="000000"/>
          <w:szCs w:val="24"/>
        </w:rPr>
      </w:pPr>
      <w:r w:rsidRPr="00ED5AD0">
        <w:rPr>
          <w:rFonts w:cs="Arial"/>
          <w:color w:val="000000"/>
          <w:szCs w:val="24"/>
        </w:rPr>
        <w:t xml:space="preserve">Appointment to any post of </w:t>
      </w:r>
      <w:r w:rsidR="005103EB" w:rsidRPr="00ED5AD0">
        <w:rPr>
          <w:rFonts w:cs="Arial"/>
          <w:color w:val="000000"/>
          <w:szCs w:val="24"/>
        </w:rPr>
        <w:t>Director</w:t>
      </w:r>
      <w:r w:rsidRPr="00ED5AD0">
        <w:rPr>
          <w:rFonts w:cs="Arial"/>
          <w:color w:val="000000"/>
          <w:szCs w:val="24"/>
        </w:rPr>
        <w:t xml:space="preserve"> will normally be made at the bottom scale point of a three-point pay scale.</w:t>
      </w:r>
    </w:p>
    <w:p w14:paraId="4D4B6FE6" w14:textId="77777777" w:rsidR="00F67E8B" w:rsidRPr="00ED5AD0" w:rsidRDefault="00F67E8B" w:rsidP="00F67E8B">
      <w:pPr>
        <w:ind w:left="720"/>
        <w:rPr>
          <w:rFonts w:cs="Arial"/>
          <w:color w:val="000000"/>
          <w:szCs w:val="24"/>
        </w:rPr>
      </w:pPr>
    </w:p>
    <w:p w14:paraId="62109E19" w14:textId="77777777" w:rsidR="00F67E8B" w:rsidRPr="00ED5AD0" w:rsidRDefault="00F67E8B" w:rsidP="00D32888">
      <w:pPr>
        <w:numPr>
          <w:ilvl w:val="0"/>
          <w:numId w:val="41"/>
        </w:numPr>
        <w:rPr>
          <w:rFonts w:cs="Arial"/>
          <w:color w:val="000000"/>
          <w:szCs w:val="24"/>
        </w:rPr>
      </w:pPr>
      <w:r w:rsidRPr="00ED5AD0">
        <w:rPr>
          <w:rFonts w:cs="Arial"/>
          <w:color w:val="000000"/>
          <w:szCs w:val="24"/>
        </w:rPr>
        <w:t>A formal performance review will be conducted by the Chief Executive to determine suitability to progress to the mid-point of the grade after one year’s service in post and following consultation with the Appointments and Conditions of Service Committee.</w:t>
      </w:r>
    </w:p>
    <w:p w14:paraId="328E133A" w14:textId="77777777" w:rsidR="00F67E8B" w:rsidRPr="00ED5AD0" w:rsidRDefault="00F67E8B" w:rsidP="00F67E8B">
      <w:pPr>
        <w:ind w:left="720"/>
        <w:rPr>
          <w:rFonts w:cs="Arial"/>
          <w:color w:val="000000"/>
          <w:szCs w:val="24"/>
        </w:rPr>
      </w:pPr>
    </w:p>
    <w:p w14:paraId="0F84725D" w14:textId="77777777" w:rsidR="00F67E8B" w:rsidRPr="00ED5AD0" w:rsidRDefault="00F67E8B" w:rsidP="00D32888">
      <w:pPr>
        <w:numPr>
          <w:ilvl w:val="0"/>
          <w:numId w:val="41"/>
        </w:numPr>
        <w:rPr>
          <w:rFonts w:cs="Arial"/>
          <w:color w:val="000000"/>
          <w:szCs w:val="24"/>
        </w:rPr>
      </w:pPr>
      <w:r w:rsidRPr="00ED5AD0">
        <w:rPr>
          <w:rFonts w:cs="Arial"/>
          <w:color w:val="000000"/>
          <w:szCs w:val="24"/>
        </w:rPr>
        <w:t xml:space="preserve">Should the Chief Executive determine that performance is unsatisfactory, pay will remain at the bottom point of the pay grade </w:t>
      </w:r>
    </w:p>
    <w:p w14:paraId="6724088A" w14:textId="77777777" w:rsidR="00F67E8B" w:rsidRPr="00ED5AD0" w:rsidRDefault="00F67E8B" w:rsidP="00F67E8B">
      <w:pPr>
        <w:ind w:left="720"/>
        <w:rPr>
          <w:rFonts w:cs="Arial"/>
          <w:color w:val="000000"/>
          <w:szCs w:val="24"/>
        </w:rPr>
      </w:pPr>
    </w:p>
    <w:p w14:paraId="6C687D28" w14:textId="77777777" w:rsidR="00F67E8B" w:rsidRPr="00ED5AD0" w:rsidRDefault="00F67E8B" w:rsidP="00D32888">
      <w:pPr>
        <w:numPr>
          <w:ilvl w:val="0"/>
          <w:numId w:val="41"/>
        </w:numPr>
        <w:rPr>
          <w:rFonts w:cs="Arial"/>
          <w:color w:val="000000"/>
          <w:szCs w:val="24"/>
        </w:rPr>
      </w:pPr>
      <w:r w:rsidRPr="00ED5AD0">
        <w:rPr>
          <w:rFonts w:cs="Arial"/>
          <w:color w:val="000000"/>
          <w:szCs w:val="24"/>
        </w:rPr>
        <w:t xml:space="preserve">Payment of the top pay point of the grade to be determined annually by formal performance review conducted by the Chief Executive and following consultation with the Appointments and Conditions of Service Committee.  Subject to satisfactory performance, payment of the top pay point will be made through annual progression of service in post and, again subject to satisfactory performance, will remain there thereafter.  Should the Chief Executive determine that performance is unsatisfactory, pay will remain at, or be reduced to, the mid-point of the pay grade. </w:t>
      </w:r>
    </w:p>
    <w:p w14:paraId="7F965E5D" w14:textId="77777777" w:rsidR="00F67E8B" w:rsidRPr="00ED5AD0" w:rsidRDefault="00F67E8B" w:rsidP="00F67E8B">
      <w:pPr>
        <w:ind w:left="720"/>
        <w:rPr>
          <w:rFonts w:cs="Arial"/>
          <w:color w:val="000000"/>
          <w:szCs w:val="24"/>
        </w:rPr>
      </w:pPr>
    </w:p>
    <w:p w14:paraId="46AF1949" w14:textId="77777777" w:rsidR="00F67E8B" w:rsidRPr="00ED5AD0" w:rsidRDefault="00F67E8B" w:rsidP="00D32888">
      <w:pPr>
        <w:numPr>
          <w:ilvl w:val="0"/>
          <w:numId w:val="41"/>
        </w:numPr>
        <w:rPr>
          <w:rFonts w:cs="Arial"/>
          <w:color w:val="000000"/>
          <w:szCs w:val="24"/>
        </w:rPr>
      </w:pPr>
      <w:r w:rsidRPr="00ED5AD0">
        <w:rPr>
          <w:rFonts w:cs="Arial"/>
          <w:color w:val="000000"/>
          <w:szCs w:val="24"/>
        </w:rPr>
        <w:t>The detail of the performance review scheme is determined by the Chief Executive.</w:t>
      </w:r>
    </w:p>
    <w:p w14:paraId="4669D6F7" w14:textId="77777777" w:rsidR="00175585" w:rsidRPr="00ED5AD0" w:rsidRDefault="00175585" w:rsidP="00FC0F37">
      <w:pPr>
        <w:pStyle w:val="ListParagraph"/>
        <w:jc w:val="right"/>
      </w:pPr>
      <w:r w:rsidRPr="00ED5AD0">
        <w:br w:type="page"/>
      </w:r>
      <w:r w:rsidRPr="00ED5AD0">
        <w:lastRenderedPageBreak/>
        <w:t>Document 3</w:t>
      </w:r>
    </w:p>
    <w:p w14:paraId="6568AC94" w14:textId="353A188F" w:rsidR="00175585" w:rsidRPr="00ED5AD0" w:rsidRDefault="00175585" w:rsidP="00175585">
      <w:pPr>
        <w:spacing w:after="200" w:line="276" w:lineRule="auto"/>
        <w:jc w:val="center"/>
        <w:rPr>
          <w:rFonts w:eastAsia="Calibri"/>
          <w:b/>
          <w:szCs w:val="22"/>
        </w:rPr>
      </w:pPr>
      <w:r w:rsidRPr="00ED5AD0">
        <w:rPr>
          <w:rFonts w:eastAsia="Calibri"/>
          <w:b/>
          <w:szCs w:val="22"/>
        </w:rPr>
        <w:t xml:space="preserve">Contractual terms to link pay to </w:t>
      </w:r>
      <w:proofErr w:type="gramStart"/>
      <w:r w:rsidRPr="00ED5AD0">
        <w:rPr>
          <w:rFonts w:eastAsia="Calibri"/>
          <w:b/>
          <w:szCs w:val="22"/>
        </w:rPr>
        <w:t>performance;</w:t>
      </w:r>
      <w:proofErr w:type="gramEnd"/>
      <w:r w:rsidRPr="00ED5AD0">
        <w:rPr>
          <w:rFonts w:eastAsia="Calibri"/>
          <w:b/>
          <w:szCs w:val="22"/>
        </w:rPr>
        <w:t xml:space="preserve"> </w:t>
      </w:r>
      <w:r w:rsidR="00DB58DC" w:rsidRPr="00ED5AD0">
        <w:rPr>
          <w:rFonts w:eastAsia="Calibri"/>
          <w:b/>
          <w:szCs w:val="22"/>
        </w:rPr>
        <w:t xml:space="preserve">Assistant </w:t>
      </w:r>
      <w:r w:rsidR="005103EB" w:rsidRPr="00ED5AD0">
        <w:rPr>
          <w:rFonts w:eastAsia="Calibri"/>
          <w:b/>
          <w:szCs w:val="22"/>
        </w:rPr>
        <w:t>Director</w:t>
      </w:r>
    </w:p>
    <w:p w14:paraId="7BB1845A" w14:textId="227825D3" w:rsidR="00175585" w:rsidRPr="00ED5AD0" w:rsidRDefault="00DB58DC" w:rsidP="00175585">
      <w:pPr>
        <w:spacing w:after="200" w:line="276" w:lineRule="auto"/>
        <w:rPr>
          <w:rFonts w:eastAsia="Calibri"/>
          <w:szCs w:val="22"/>
          <w:lang w:val="en-US"/>
        </w:rPr>
      </w:pPr>
      <w:r w:rsidRPr="00ED5AD0">
        <w:rPr>
          <w:rFonts w:eastAsia="Calibri"/>
          <w:szCs w:val="22"/>
          <w:lang w:val="en-US"/>
        </w:rPr>
        <w:t xml:space="preserve">Assistant </w:t>
      </w:r>
      <w:r w:rsidR="005103EB" w:rsidRPr="00ED5AD0">
        <w:rPr>
          <w:rFonts w:eastAsia="Calibri"/>
          <w:szCs w:val="22"/>
          <w:lang w:val="en-US"/>
        </w:rPr>
        <w:t>Director</w:t>
      </w:r>
      <w:r w:rsidR="00175585" w:rsidRPr="00ED5AD0">
        <w:rPr>
          <w:rFonts w:eastAsia="Calibri"/>
          <w:szCs w:val="22"/>
          <w:lang w:val="en-US"/>
        </w:rPr>
        <w:t xml:space="preserve"> Pay and Performance Policy</w:t>
      </w:r>
    </w:p>
    <w:p w14:paraId="642F61AF" w14:textId="5FF23278" w:rsidR="00175585" w:rsidRPr="00ED5AD0" w:rsidRDefault="00DB58DC" w:rsidP="00D32888">
      <w:pPr>
        <w:numPr>
          <w:ilvl w:val="0"/>
          <w:numId w:val="28"/>
        </w:numPr>
        <w:spacing w:after="200" w:line="276" w:lineRule="auto"/>
        <w:rPr>
          <w:rFonts w:eastAsia="Calibri"/>
          <w:szCs w:val="22"/>
        </w:rPr>
      </w:pPr>
      <w:r w:rsidRPr="00ED5AD0">
        <w:rPr>
          <w:rFonts w:eastAsia="Calibri"/>
          <w:szCs w:val="22"/>
        </w:rPr>
        <w:t xml:space="preserve">Assistant </w:t>
      </w:r>
      <w:r w:rsidR="005103EB" w:rsidRPr="00ED5AD0">
        <w:rPr>
          <w:rFonts w:eastAsia="Calibri"/>
          <w:szCs w:val="22"/>
        </w:rPr>
        <w:t>Director</w:t>
      </w:r>
      <w:r w:rsidR="00175585" w:rsidRPr="00ED5AD0">
        <w:rPr>
          <w:rFonts w:eastAsia="Calibri"/>
          <w:szCs w:val="22"/>
        </w:rPr>
        <w:t xml:space="preserve"> posts are based on a three-point pay scale related to the maximum pay of </w:t>
      </w:r>
      <w:r w:rsidR="005103EB" w:rsidRPr="00ED5AD0">
        <w:rPr>
          <w:rFonts w:eastAsia="Calibri"/>
          <w:szCs w:val="22"/>
        </w:rPr>
        <w:t>Director</w:t>
      </w:r>
      <w:r w:rsidR="00175585" w:rsidRPr="00ED5AD0">
        <w:rPr>
          <w:rFonts w:eastAsia="Calibri"/>
          <w:szCs w:val="22"/>
        </w:rPr>
        <w:t>s.</w:t>
      </w:r>
    </w:p>
    <w:p w14:paraId="08C3737C" w14:textId="7FB0C110"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 xml:space="preserve">Under normal circumstances, at the start of employment as </w:t>
      </w:r>
      <w:r w:rsidR="00DB58DC" w:rsidRPr="00ED5AD0">
        <w:rPr>
          <w:rFonts w:eastAsia="Calibri"/>
          <w:szCs w:val="22"/>
        </w:rPr>
        <w:t xml:space="preserve">an Assistant </w:t>
      </w:r>
      <w:r w:rsidR="005103EB" w:rsidRPr="00ED5AD0">
        <w:rPr>
          <w:rFonts w:eastAsia="Calibri"/>
          <w:szCs w:val="22"/>
        </w:rPr>
        <w:t>Director</w:t>
      </w:r>
      <w:r w:rsidRPr="00ED5AD0">
        <w:rPr>
          <w:rFonts w:eastAsia="Calibri"/>
          <w:szCs w:val="22"/>
        </w:rPr>
        <w:t>, pay will be based on the bottom pay point of the grade.</w:t>
      </w:r>
    </w:p>
    <w:p w14:paraId="4D3207A8" w14:textId="77777777"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Progression to the next pay point will follow the general rules applying to NJC officers in respect to timing of awards.</w:t>
      </w:r>
    </w:p>
    <w:p w14:paraId="135C86EF" w14:textId="482D1240" w:rsidR="00175585" w:rsidRPr="00ED5AD0" w:rsidRDefault="005103EB" w:rsidP="00D32888">
      <w:pPr>
        <w:numPr>
          <w:ilvl w:val="0"/>
          <w:numId w:val="28"/>
        </w:numPr>
        <w:spacing w:after="200" w:line="276" w:lineRule="auto"/>
        <w:rPr>
          <w:rFonts w:eastAsia="Calibri"/>
          <w:szCs w:val="22"/>
        </w:rPr>
      </w:pPr>
      <w:r w:rsidRPr="00ED5AD0">
        <w:rPr>
          <w:rFonts w:eastAsia="Calibri"/>
          <w:szCs w:val="22"/>
        </w:rPr>
        <w:t>Director</w:t>
      </w:r>
      <w:r w:rsidR="00175585" w:rsidRPr="00ED5AD0">
        <w:rPr>
          <w:rFonts w:eastAsia="Calibri"/>
          <w:szCs w:val="22"/>
        </w:rPr>
        <w:t>s</w:t>
      </w:r>
      <w:r w:rsidR="00EA654F" w:rsidRPr="00ED5AD0">
        <w:rPr>
          <w:rFonts w:eastAsia="Calibri"/>
          <w:szCs w:val="22"/>
        </w:rPr>
        <w:t xml:space="preserve"> that</w:t>
      </w:r>
      <w:r w:rsidR="00175585" w:rsidRPr="00ED5AD0">
        <w:rPr>
          <w:rFonts w:eastAsia="Calibri"/>
          <w:szCs w:val="22"/>
        </w:rPr>
        <w:t xml:space="preserve"> line-manage </w:t>
      </w:r>
      <w:r w:rsidR="00DB58DC" w:rsidRPr="00ED5AD0">
        <w:rPr>
          <w:rFonts w:eastAsia="Calibri"/>
          <w:szCs w:val="22"/>
        </w:rPr>
        <w:t xml:space="preserve">Assistant </w:t>
      </w:r>
      <w:r w:rsidRPr="00ED5AD0">
        <w:rPr>
          <w:rFonts w:eastAsia="Calibri"/>
          <w:szCs w:val="22"/>
        </w:rPr>
        <w:t>Director</w:t>
      </w:r>
      <w:r w:rsidR="00DB58DC" w:rsidRPr="00ED5AD0">
        <w:rPr>
          <w:rFonts w:eastAsia="Calibri"/>
          <w:szCs w:val="22"/>
        </w:rPr>
        <w:t>s</w:t>
      </w:r>
      <w:r w:rsidR="00175585" w:rsidRPr="00ED5AD0">
        <w:rPr>
          <w:rFonts w:eastAsia="Calibri"/>
          <w:szCs w:val="22"/>
        </w:rPr>
        <w:t xml:space="preserve"> are responsible for setting clear standards of expectation relating to performance or behaviour.  Any shortfall against these expectations will be identified to the </w:t>
      </w:r>
      <w:r w:rsidR="00DB58DC" w:rsidRPr="00ED5AD0">
        <w:rPr>
          <w:rFonts w:eastAsia="Calibri"/>
          <w:szCs w:val="22"/>
        </w:rPr>
        <w:t xml:space="preserve">Assistant </w:t>
      </w:r>
      <w:r w:rsidRPr="00ED5AD0">
        <w:rPr>
          <w:rFonts w:eastAsia="Calibri"/>
          <w:szCs w:val="22"/>
        </w:rPr>
        <w:t>Director</w:t>
      </w:r>
      <w:r w:rsidR="00175585" w:rsidRPr="00ED5AD0">
        <w:rPr>
          <w:rFonts w:eastAsia="Calibri"/>
          <w:szCs w:val="22"/>
        </w:rPr>
        <w:t xml:space="preserve"> by a </w:t>
      </w:r>
      <w:r w:rsidRPr="00ED5AD0">
        <w:rPr>
          <w:rFonts w:eastAsia="Calibri"/>
          <w:szCs w:val="22"/>
        </w:rPr>
        <w:t>Director</w:t>
      </w:r>
      <w:r w:rsidR="00175585" w:rsidRPr="00ED5AD0">
        <w:rPr>
          <w:rFonts w:eastAsia="Calibri"/>
          <w:szCs w:val="22"/>
        </w:rPr>
        <w:t xml:space="preserve">, normally at the time that the </w:t>
      </w:r>
      <w:r w:rsidRPr="00ED5AD0">
        <w:rPr>
          <w:rFonts w:eastAsia="Calibri"/>
          <w:szCs w:val="22"/>
        </w:rPr>
        <w:t>Director</w:t>
      </w:r>
      <w:r w:rsidR="00175585" w:rsidRPr="00ED5AD0">
        <w:rPr>
          <w:rFonts w:eastAsia="Calibri"/>
          <w:szCs w:val="22"/>
        </w:rPr>
        <w:t xml:space="preserve"> becomes aware of the issue.  Often, improvement will be sought through the introduction of appropriate support or training without further measures being employed.  </w:t>
      </w:r>
      <w:proofErr w:type="gramStart"/>
      <w:r w:rsidR="00175585" w:rsidRPr="00ED5AD0">
        <w:rPr>
          <w:rFonts w:eastAsia="Calibri"/>
          <w:szCs w:val="22"/>
        </w:rPr>
        <w:t>If</w:t>
      </w:r>
      <w:proofErr w:type="gramEnd"/>
      <w:r w:rsidR="00175585" w:rsidRPr="00ED5AD0">
        <w:rPr>
          <w:rFonts w:eastAsia="Calibri"/>
          <w:szCs w:val="22"/>
        </w:rPr>
        <w:t xml:space="preserve"> </w:t>
      </w:r>
      <w:r w:rsidR="00DB58DC" w:rsidRPr="00ED5AD0">
        <w:rPr>
          <w:rFonts w:eastAsia="Calibri"/>
          <w:szCs w:val="22"/>
        </w:rPr>
        <w:t>however,</w:t>
      </w:r>
      <w:r w:rsidR="00175585" w:rsidRPr="00ED5AD0">
        <w:rPr>
          <w:rFonts w:eastAsia="Calibri"/>
          <w:szCs w:val="22"/>
        </w:rPr>
        <w:t xml:space="preserve"> the matter is sufficiently serious or an improvement identified as necessary is not initially forthcoming within a timescale required by the </w:t>
      </w:r>
      <w:r w:rsidRPr="00ED5AD0">
        <w:rPr>
          <w:rFonts w:eastAsia="Calibri"/>
          <w:szCs w:val="22"/>
        </w:rPr>
        <w:t>Director</w:t>
      </w:r>
      <w:r w:rsidR="00175585" w:rsidRPr="00ED5AD0">
        <w:rPr>
          <w:rFonts w:eastAsia="Calibri"/>
          <w:szCs w:val="22"/>
        </w:rPr>
        <w:t xml:space="preserve"> then that </w:t>
      </w:r>
      <w:r w:rsidRPr="00ED5AD0">
        <w:rPr>
          <w:rFonts w:eastAsia="Calibri"/>
          <w:szCs w:val="22"/>
        </w:rPr>
        <w:t>Director</w:t>
      </w:r>
      <w:r w:rsidR="00175585" w:rsidRPr="00ED5AD0">
        <w:rPr>
          <w:rFonts w:eastAsia="Calibri"/>
          <w:szCs w:val="22"/>
        </w:rPr>
        <w:t xml:space="preserve"> may choose to freeze the </w:t>
      </w:r>
      <w:r w:rsidR="00DB58DC" w:rsidRPr="00ED5AD0">
        <w:rPr>
          <w:rFonts w:eastAsia="Calibri"/>
          <w:szCs w:val="22"/>
        </w:rPr>
        <w:t xml:space="preserve">Assistant </w:t>
      </w:r>
      <w:r w:rsidRPr="00ED5AD0">
        <w:rPr>
          <w:rFonts w:eastAsia="Calibri"/>
          <w:szCs w:val="22"/>
        </w:rPr>
        <w:t>Director</w:t>
      </w:r>
      <w:r w:rsidR="00175585" w:rsidRPr="00ED5AD0">
        <w:rPr>
          <w:rFonts w:eastAsia="Calibri"/>
          <w:szCs w:val="22"/>
        </w:rPr>
        <w:t xml:space="preserve"> on their current pay point (prevent progression to the next pay point when it would otherwise have been made) or to reduce their pay by one or more pay points.</w:t>
      </w:r>
    </w:p>
    <w:p w14:paraId="5FB13C90" w14:textId="77777777"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 xml:space="preserve">One month’s notice will be given of the intention to reduce pay.  </w:t>
      </w:r>
    </w:p>
    <w:p w14:paraId="2D6D53EE" w14:textId="1B2B85A4"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 xml:space="preserve">Should pay be reduced, this change will be applied for a minimum of six months.  The length of reduction will be determined by the </w:t>
      </w:r>
      <w:r w:rsidR="005103EB" w:rsidRPr="00ED5AD0">
        <w:rPr>
          <w:rFonts w:eastAsia="Calibri"/>
          <w:szCs w:val="22"/>
        </w:rPr>
        <w:t>Director</w:t>
      </w:r>
      <w:r w:rsidRPr="00ED5AD0">
        <w:rPr>
          <w:rFonts w:eastAsia="Calibri"/>
          <w:szCs w:val="22"/>
        </w:rPr>
        <w:t xml:space="preserve">. At the end of the period defined by the </w:t>
      </w:r>
      <w:r w:rsidR="005103EB" w:rsidRPr="00ED5AD0">
        <w:rPr>
          <w:rFonts w:eastAsia="Calibri"/>
          <w:szCs w:val="22"/>
        </w:rPr>
        <w:t>Director</w:t>
      </w:r>
      <w:r w:rsidRPr="00ED5AD0">
        <w:rPr>
          <w:rFonts w:eastAsia="Calibri"/>
          <w:szCs w:val="22"/>
        </w:rPr>
        <w:t xml:space="preserve">, during which time progress against an improvement plan will be monitored, should improvement be satisfactory then pay will be returned to the previous. </w:t>
      </w:r>
    </w:p>
    <w:p w14:paraId="56398F5A" w14:textId="359393D0"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 xml:space="preserve">If pay is frozen then progress against an improvement plan will be monitored. If performance or behaviour does improve sufficiently then from the point at which this determined by the </w:t>
      </w:r>
      <w:proofErr w:type="gramStart"/>
      <w:r w:rsidR="005103EB" w:rsidRPr="00ED5AD0">
        <w:rPr>
          <w:rFonts w:eastAsia="Calibri"/>
          <w:szCs w:val="22"/>
        </w:rPr>
        <w:t>Director</w:t>
      </w:r>
      <w:proofErr w:type="gramEnd"/>
      <w:r w:rsidRPr="00ED5AD0">
        <w:rPr>
          <w:rFonts w:eastAsia="Calibri"/>
          <w:szCs w:val="22"/>
        </w:rPr>
        <w:t xml:space="preserve"> then progression will be made to the next pay point.   If further progression within the grade is possible then the top pay point will be paid one year from the date that the pay had been “un-frozen”.   </w:t>
      </w:r>
    </w:p>
    <w:p w14:paraId="793D4AE1" w14:textId="3437BD59" w:rsidR="00570C15" w:rsidRPr="00ED5AD0" w:rsidRDefault="00175585" w:rsidP="00D32888">
      <w:pPr>
        <w:numPr>
          <w:ilvl w:val="0"/>
          <w:numId w:val="28"/>
        </w:numPr>
        <w:spacing w:after="200" w:line="276" w:lineRule="auto"/>
        <w:rPr>
          <w:rFonts w:eastAsia="Calibri"/>
          <w:szCs w:val="22"/>
        </w:rPr>
      </w:pPr>
      <w:r w:rsidRPr="00ED5AD0">
        <w:rPr>
          <w:rFonts w:eastAsia="Calibri"/>
          <w:szCs w:val="22"/>
        </w:rPr>
        <w:t>The above measures may be applied outside a formal capability procedure.  If, however, the measures are applied to a</w:t>
      </w:r>
      <w:r w:rsidR="00DB58DC" w:rsidRPr="00ED5AD0">
        <w:rPr>
          <w:rFonts w:eastAsia="Calibri"/>
          <w:szCs w:val="22"/>
        </w:rPr>
        <w:t xml:space="preserve">n Assistant </w:t>
      </w:r>
      <w:r w:rsidR="005103EB" w:rsidRPr="00ED5AD0">
        <w:rPr>
          <w:rFonts w:eastAsia="Calibri"/>
          <w:szCs w:val="22"/>
        </w:rPr>
        <w:t>Director</w:t>
      </w:r>
      <w:r w:rsidRPr="00ED5AD0">
        <w:rPr>
          <w:rFonts w:eastAsia="Calibri"/>
          <w:szCs w:val="22"/>
        </w:rPr>
        <w:t xml:space="preserve"> and the measures are applied for a year or more, it is likely that the matter will be dealt with under a formal capability procedure.  </w:t>
      </w:r>
    </w:p>
    <w:p w14:paraId="3F6E9C1D" w14:textId="77777777" w:rsidR="00570C15" w:rsidRPr="00ED5AD0" w:rsidRDefault="00570C15">
      <w:pPr>
        <w:rPr>
          <w:rFonts w:eastAsia="Calibri"/>
          <w:szCs w:val="22"/>
        </w:rPr>
      </w:pPr>
      <w:r w:rsidRPr="00ED5AD0">
        <w:rPr>
          <w:rFonts w:eastAsia="Calibri"/>
          <w:szCs w:val="22"/>
        </w:rPr>
        <w:br w:type="page"/>
      </w:r>
    </w:p>
    <w:p w14:paraId="1167E07A" w14:textId="77777777" w:rsidR="00175585" w:rsidRPr="00ED5AD0" w:rsidRDefault="00175585" w:rsidP="00570C15">
      <w:pPr>
        <w:spacing w:after="200" w:line="276" w:lineRule="auto"/>
        <w:ind w:left="720"/>
        <w:rPr>
          <w:rFonts w:eastAsia="Calibri"/>
          <w:szCs w:val="22"/>
        </w:rPr>
      </w:pPr>
    </w:p>
    <w:p w14:paraId="591B56ED" w14:textId="77777777"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The broad terms and process of the Capability Procedure defined in the Employee Handbook will be used to deal with any serious or persistent problems of capability and the use of this formal procedure may be applied either in conjunction with or separate to the measures relating to pay freezing or reduction.</w:t>
      </w:r>
    </w:p>
    <w:p w14:paraId="08E29B31" w14:textId="012E3136" w:rsidR="00175585" w:rsidRPr="00ED5AD0" w:rsidRDefault="00175585" w:rsidP="00D32888">
      <w:pPr>
        <w:numPr>
          <w:ilvl w:val="0"/>
          <w:numId w:val="28"/>
        </w:numPr>
        <w:spacing w:after="200" w:line="276" w:lineRule="auto"/>
        <w:rPr>
          <w:rFonts w:eastAsia="Calibri"/>
          <w:szCs w:val="22"/>
        </w:rPr>
      </w:pPr>
      <w:r w:rsidRPr="00ED5AD0">
        <w:rPr>
          <w:rFonts w:eastAsia="Calibri"/>
          <w:szCs w:val="22"/>
        </w:rPr>
        <w:t xml:space="preserve">A final right of appeal exists to a </w:t>
      </w:r>
      <w:proofErr w:type="gramStart"/>
      <w:r w:rsidR="005103EB" w:rsidRPr="00ED5AD0">
        <w:rPr>
          <w:rFonts w:eastAsia="Calibri"/>
          <w:szCs w:val="22"/>
        </w:rPr>
        <w:t>Director</w:t>
      </w:r>
      <w:r w:rsidRPr="00ED5AD0">
        <w:rPr>
          <w:rFonts w:eastAsia="Calibri"/>
          <w:szCs w:val="22"/>
        </w:rPr>
        <w:t>’s</w:t>
      </w:r>
      <w:proofErr w:type="gramEnd"/>
      <w:r w:rsidRPr="00ED5AD0">
        <w:rPr>
          <w:rFonts w:eastAsia="Calibri"/>
          <w:szCs w:val="22"/>
        </w:rPr>
        <w:t xml:space="preserve"> decision to freeze or reduce pay, or to the length of time for which this pay detriment is applied.  This appeal should be addressed </w:t>
      </w:r>
      <w:proofErr w:type="gramStart"/>
      <w:r w:rsidRPr="00ED5AD0">
        <w:rPr>
          <w:rFonts w:eastAsia="Calibri"/>
          <w:szCs w:val="22"/>
        </w:rPr>
        <w:t>to, and</w:t>
      </w:r>
      <w:proofErr w:type="gramEnd"/>
      <w:r w:rsidRPr="00ED5AD0">
        <w:rPr>
          <w:rFonts w:eastAsia="Calibri"/>
          <w:szCs w:val="22"/>
        </w:rPr>
        <w:t xml:space="preserve"> will be dealt with by the Chief Executive or an officer nominated by the Chief Executive.</w:t>
      </w:r>
    </w:p>
    <w:p w14:paraId="78685926" w14:textId="77777777" w:rsidR="00175585" w:rsidRPr="00ED5AD0" w:rsidRDefault="00175585" w:rsidP="00175585">
      <w:pPr>
        <w:spacing w:after="200" w:line="276" w:lineRule="auto"/>
        <w:rPr>
          <w:rFonts w:eastAsia="Calibri"/>
          <w:szCs w:val="22"/>
          <w:lang w:val="en-US"/>
        </w:rPr>
      </w:pPr>
      <w:r w:rsidRPr="00ED5AD0">
        <w:rPr>
          <w:rFonts w:eastAsia="Calibri"/>
          <w:szCs w:val="22"/>
          <w:lang w:val="en-US"/>
        </w:rPr>
        <w:t xml:space="preserve"> </w:t>
      </w:r>
    </w:p>
    <w:p w14:paraId="56310967" w14:textId="77777777" w:rsidR="00175585" w:rsidRPr="00ED5AD0" w:rsidRDefault="00175585" w:rsidP="00175585">
      <w:pPr>
        <w:spacing w:after="200" w:line="276" w:lineRule="auto"/>
        <w:rPr>
          <w:rFonts w:eastAsia="Calibri"/>
          <w:szCs w:val="22"/>
          <w:lang w:val="en-US"/>
        </w:rPr>
      </w:pPr>
      <w:r w:rsidRPr="00ED5AD0">
        <w:rPr>
          <w:rFonts w:eastAsia="Calibri"/>
          <w:szCs w:val="22"/>
          <w:lang w:val="en-US"/>
        </w:rPr>
        <w:br w:type="page"/>
      </w:r>
    </w:p>
    <w:p w14:paraId="3242A556" w14:textId="77777777" w:rsidR="00175585" w:rsidRPr="00ED5AD0" w:rsidRDefault="00175585" w:rsidP="00175585">
      <w:pPr>
        <w:spacing w:after="200" w:line="276" w:lineRule="auto"/>
        <w:jc w:val="right"/>
        <w:rPr>
          <w:rFonts w:eastAsia="Calibri"/>
          <w:b/>
          <w:bCs/>
          <w:szCs w:val="22"/>
          <w:lang w:val="en-US"/>
        </w:rPr>
      </w:pPr>
      <w:r w:rsidRPr="00ED5AD0">
        <w:rPr>
          <w:rFonts w:eastAsia="Calibri"/>
          <w:b/>
          <w:bCs/>
          <w:szCs w:val="22"/>
          <w:lang w:val="en-US"/>
        </w:rPr>
        <w:lastRenderedPageBreak/>
        <w:t>Document 4</w:t>
      </w:r>
    </w:p>
    <w:p w14:paraId="41CDA3D1" w14:textId="77777777" w:rsidR="00175585" w:rsidRPr="00ED5AD0" w:rsidRDefault="00175585" w:rsidP="00175585">
      <w:pPr>
        <w:spacing w:after="200" w:line="276" w:lineRule="auto"/>
        <w:jc w:val="center"/>
        <w:rPr>
          <w:rFonts w:eastAsia="Calibri"/>
          <w:b/>
          <w:szCs w:val="22"/>
          <w:lang w:val="en-US"/>
        </w:rPr>
      </w:pPr>
      <w:r w:rsidRPr="00ED5AD0">
        <w:rPr>
          <w:rFonts w:eastAsia="Calibri"/>
          <w:b/>
          <w:szCs w:val="22"/>
          <w:lang w:val="en-US"/>
        </w:rPr>
        <w:t>Market Supplements</w:t>
      </w:r>
    </w:p>
    <w:p w14:paraId="09125F06" w14:textId="77777777" w:rsidR="00175585" w:rsidRPr="00ED5AD0" w:rsidRDefault="00175585" w:rsidP="00175585">
      <w:pPr>
        <w:spacing w:after="200" w:line="276" w:lineRule="auto"/>
        <w:jc w:val="center"/>
        <w:rPr>
          <w:rFonts w:eastAsia="Calibri"/>
          <w:szCs w:val="22"/>
          <w:lang w:val="en-US"/>
        </w:rPr>
      </w:pPr>
    </w:p>
    <w:p w14:paraId="20D41158" w14:textId="1D236E8D"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The pay and grading structure </w:t>
      </w:r>
      <w:proofErr w:type="gramStart"/>
      <w:r w:rsidRPr="00ED5AD0">
        <w:rPr>
          <w:rFonts w:cs="Arial"/>
          <w:szCs w:val="24"/>
        </w:rPr>
        <w:t>has</w:t>
      </w:r>
      <w:proofErr w:type="gramEnd"/>
      <w:r w:rsidRPr="00ED5AD0">
        <w:rPr>
          <w:rFonts w:cs="Arial"/>
          <w:szCs w:val="24"/>
        </w:rPr>
        <w:t xml:space="preserve"> been set to reflect the relative values of jobs within this organisation and at pay levels which reflect the general local employment pay levels.  This has been achieved through the national job evaluation scheme for NJC officers and a local job evaluation scheme for </w:t>
      </w:r>
      <w:r w:rsidR="00DB58DC" w:rsidRPr="00ED5AD0">
        <w:rPr>
          <w:rFonts w:cs="Arial"/>
          <w:szCs w:val="24"/>
        </w:rPr>
        <w:t xml:space="preserve">Assistant </w:t>
      </w:r>
      <w:r w:rsidR="005103EB" w:rsidRPr="00ED5AD0">
        <w:rPr>
          <w:rFonts w:cs="Arial"/>
          <w:szCs w:val="24"/>
        </w:rPr>
        <w:t>Director</w:t>
      </w:r>
      <w:r w:rsidR="00DB58DC" w:rsidRPr="00ED5AD0">
        <w:rPr>
          <w:rFonts w:cs="Arial"/>
          <w:szCs w:val="24"/>
        </w:rPr>
        <w:t>s</w:t>
      </w:r>
      <w:r w:rsidRPr="00ED5AD0">
        <w:rPr>
          <w:rFonts w:cs="Arial"/>
          <w:szCs w:val="24"/>
        </w:rPr>
        <w:t>. However, there may be occasions where it is necessary to enhance the pay levels of specific groups of employees where it is proven that it is difficult to attract and retain employees because of external pay levels.  Where such situations are identified, additional market factor supplements may be agreed.</w:t>
      </w:r>
    </w:p>
    <w:p w14:paraId="02AA1E3C" w14:textId="77777777" w:rsidR="00175585" w:rsidRPr="00ED5AD0" w:rsidRDefault="00175585" w:rsidP="00175585">
      <w:pPr>
        <w:ind w:left="786"/>
        <w:contextualSpacing/>
        <w:rPr>
          <w:rFonts w:cs="Arial"/>
          <w:szCs w:val="24"/>
        </w:rPr>
      </w:pPr>
    </w:p>
    <w:p w14:paraId="53569F4A"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Payment of market factor supplements will be made </w:t>
      </w:r>
      <w:proofErr w:type="gramStart"/>
      <w:r w:rsidRPr="00ED5AD0">
        <w:rPr>
          <w:rFonts w:cs="Arial"/>
          <w:szCs w:val="24"/>
        </w:rPr>
        <w:t>taking into account</w:t>
      </w:r>
      <w:proofErr w:type="gramEnd"/>
      <w:r w:rsidRPr="00ED5AD0">
        <w:rPr>
          <w:rFonts w:cs="Arial"/>
          <w:szCs w:val="24"/>
        </w:rPr>
        <w:t xml:space="preserve"> the following factors:</w:t>
      </w:r>
    </w:p>
    <w:p w14:paraId="3D29BC44" w14:textId="77777777" w:rsidR="00175585" w:rsidRPr="00ED5AD0" w:rsidRDefault="00175585" w:rsidP="00175585">
      <w:pPr>
        <w:ind w:left="786"/>
        <w:contextualSpacing/>
        <w:rPr>
          <w:rFonts w:cs="Arial"/>
          <w:szCs w:val="24"/>
        </w:rPr>
      </w:pPr>
    </w:p>
    <w:p w14:paraId="05285A25" w14:textId="77777777" w:rsidR="00175585" w:rsidRPr="00ED5AD0" w:rsidRDefault="00175585" w:rsidP="00D32888">
      <w:pPr>
        <w:numPr>
          <w:ilvl w:val="1"/>
          <w:numId w:val="33"/>
        </w:numPr>
        <w:spacing w:after="200" w:line="276" w:lineRule="auto"/>
        <w:contextualSpacing/>
        <w:rPr>
          <w:rFonts w:cs="Arial"/>
          <w:szCs w:val="24"/>
        </w:rPr>
      </w:pPr>
      <w:r w:rsidRPr="00ED5AD0">
        <w:rPr>
          <w:rFonts w:cs="Arial"/>
          <w:szCs w:val="24"/>
        </w:rPr>
        <w:t xml:space="preserve">Evidence of high levels of turnover in the </w:t>
      </w:r>
      <w:proofErr w:type="gramStart"/>
      <w:r w:rsidRPr="00ED5AD0">
        <w:rPr>
          <w:rFonts w:cs="Arial"/>
          <w:szCs w:val="24"/>
        </w:rPr>
        <w:t>particular staff</w:t>
      </w:r>
      <w:proofErr w:type="gramEnd"/>
      <w:r w:rsidRPr="00ED5AD0">
        <w:rPr>
          <w:rFonts w:cs="Arial"/>
          <w:szCs w:val="24"/>
        </w:rPr>
        <w:t xml:space="preserve"> group</w:t>
      </w:r>
    </w:p>
    <w:p w14:paraId="7816DDF5" w14:textId="50DC1D88" w:rsidR="00175585" w:rsidRPr="00ED5AD0" w:rsidRDefault="00175585" w:rsidP="00D32888">
      <w:pPr>
        <w:numPr>
          <w:ilvl w:val="1"/>
          <w:numId w:val="33"/>
        </w:numPr>
        <w:spacing w:after="200" w:line="276" w:lineRule="auto"/>
        <w:contextualSpacing/>
        <w:rPr>
          <w:rFonts w:cs="Arial"/>
          <w:szCs w:val="24"/>
        </w:rPr>
      </w:pPr>
      <w:r w:rsidRPr="00ED5AD0">
        <w:rPr>
          <w:rFonts w:cs="Arial"/>
          <w:szCs w:val="24"/>
        </w:rPr>
        <w:t>Evidence of difficulties in recruiting to posts i</w:t>
      </w:r>
      <w:r w:rsidR="00DB58DC" w:rsidRPr="00ED5AD0">
        <w:rPr>
          <w:rFonts w:cs="Arial"/>
          <w:szCs w:val="24"/>
        </w:rPr>
        <w:t>.</w:t>
      </w:r>
      <w:r w:rsidRPr="00ED5AD0">
        <w:rPr>
          <w:rFonts w:cs="Arial"/>
          <w:szCs w:val="24"/>
        </w:rPr>
        <w:t>e</w:t>
      </w:r>
      <w:r w:rsidR="00DB58DC" w:rsidRPr="00ED5AD0">
        <w:rPr>
          <w:rFonts w:cs="Arial"/>
          <w:szCs w:val="24"/>
        </w:rPr>
        <w:t>.</w:t>
      </w:r>
      <w:r w:rsidRPr="00ED5AD0">
        <w:rPr>
          <w:rFonts w:cs="Arial"/>
          <w:szCs w:val="24"/>
        </w:rPr>
        <w:t xml:space="preserve"> by low response rates to advertisements or inability to attract suitable candidates</w:t>
      </w:r>
    </w:p>
    <w:p w14:paraId="204DF9C4" w14:textId="77777777" w:rsidR="00175585" w:rsidRPr="00ED5AD0" w:rsidRDefault="00175585" w:rsidP="00D32888">
      <w:pPr>
        <w:numPr>
          <w:ilvl w:val="1"/>
          <w:numId w:val="33"/>
        </w:numPr>
        <w:spacing w:after="200" w:line="276" w:lineRule="auto"/>
        <w:contextualSpacing/>
        <w:rPr>
          <w:rFonts w:cs="Arial"/>
          <w:szCs w:val="24"/>
        </w:rPr>
      </w:pPr>
      <w:r w:rsidRPr="00ED5AD0">
        <w:rPr>
          <w:rFonts w:cs="Arial"/>
          <w:szCs w:val="24"/>
        </w:rPr>
        <w:t>Comparison with like jobs in other local authorities and more widely in the sector</w:t>
      </w:r>
    </w:p>
    <w:p w14:paraId="6A738E1F" w14:textId="77777777" w:rsidR="00175585" w:rsidRPr="00ED5AD0" w:rsidRDefault="00175585" w:rsidP="00175585">
      <w:pPr>
        <w:ind w:left="1506"/>
        <w:contextualSpacing/>
        <w:rPr>
          <w:rFonts w:cs="Arial"/>
          <w:szCs w:val="24"/>
        </w:rPr>
      </w:pPr>
    </w:p>
    <w:p w14:paraId="6E2024C2"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All current employees within the group affected will receive the payment.</w:t>
      </w:r>
    </w:p>
    <w:p w14:paraId="622F1D16" w14:textId="77777777" w:rsidR="00175585" w:rsidRPr="00ED5AD0" w:rsidRDefault="00175585" w:rsidP="00175585">
      <w:pPr>
        <w:ind w:left="786"/>
        <w:contextualSpacing/>
        <w:rPr>
          <w:rFonts w:cs="Arial"/>
          <w:szCs w:val="24"/>
        </w:rPr>
      </w:pPr>
    </w:p>
    <w:p w14:paraId="447BC383"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Clear criteria for receiving the payment will be determined such as the possession of specific qualifications and length of experience as examples.</w:t>
      </w:r>
    </w:p>
    <w:p w14:paraId="5B084F5B" w14:textId="77777777" w:rsidR="00175585" w:rsidRPr="00ED5AD0" w:rsidRDefault="00175585" w:rsidP="00175585">
      <w:pPr>
        <w:ind w:left="786"/>
        <w:contextualSpacing/>
        <w:rPr>
          <w:rFonts w:cs="Arial"/>
          <w:szCs w:val="24"/>
        </w:rPr>
      </w:pPr>
    </w:p>
    <w:p w14:paraId="68D93CEF"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The supplement will be </w:t>
      </w:r>
      <w:proofErr w:type="gramStart"/>
      <w:r w:rsidRPr="00ED5AD0">
        <w:rPr>
          <w:rFonts w:cs="Arial"/>
          <w:szCs w:val="24"/>
        </w:rPr>
        <w:t>a number of</w:t>
      </w:r>
      <w:proofErr w:type="gramEnd"/>
      <w:r w:rsidRPr="00ED5AD0">
        <w:rPr>
          <w:rFonts w:cs="Arial"/>
          <w:szCs w:val="24"/>
        </w:rPr>
        <w:t xml:space="preserve"> increments applied to the normal spinal column points associated with the substantive grade. The number of increments awarded will be informed by the evidence supporting the payment of the market factor supplement.   </w:t>
      </w:r>
    </w:p>
    <w:p w14:paraId="710385B9" w14:textId="77777777" w:rsidR="00175585" w:rsidRPr="00ED5AD0" w:rsidRDefault="00175585" w:rsidP="00175585">
      <w:pPr>
        <w:ind w:left="786"/>
        <w:contextualSpacing/>
        <w:rPr>
          <w:rFonts w:cs="Arial"/>
          <w:szCs w:val="24"/>
        </w:rPr>
      </w:pPr>
    </w:p>
    <w:p w14:paraId="2F2DEF70"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Payment will be made for a specific </w:t>
      </w:r>
      <w:proofErr w:type="gramStart"/>
      <w:r w:rsidRPr="00ED5AD0">
        <w:rPr>
          <w:rFonts w:cs="Arial"/>
          <w:szCs w:val="24"/>
        </w:rPr>
        <w:t>time period</w:t>
      </w:r>
      <w:proofErr w:type="gramEnd"/>
      <w:r w:rsidR="00570C15" w:rsidRPr="00ED5AD0">
        <w:rPr>
          <w:rFonts w:cs="Arial"/>
          <w:szCs w:val="24"/>
        </w:rPr>
        <w:t xml:space="preserve"> (normally up to 3 years as a maximum initially)</w:t>
      </w:r>
      <w:r w:rsidRPr="00ED5AD0">
        <w:rPr>
          <w:rFonts w:cs="Arial"/>
          <w:szCs w:val="24"/>
        </w:rPr>
        <w:t xml:space="preserve">. The application of a supplement is not </w:t>
      </w:r>
      <w:proofErr w:type="gramStart"/>
      <w:r w:rsidRPr="00ED5AD0">
        <w:rPr>
          <w:rFonts w:cs="Arial"/>
          <w:szCs w:val="24"/>
        </w:rPr>
        <w:t>open-ended</w:t>
      </w:r>
      <w:proofErr w:type="gramEnd"/>
      <w:r w:rsidRPr="00ED5AD0">
        <w:rPr>
          <w:rFonts w:cs="Arial"/>
          <w:szCs w:val="24"/>
        </w:rPr>
        <w:t xml:space="preserve"> and the timing of a formal review will be identified when the arrangement is proposed.  </w:t>
      </w:r>
    </w:p>
    <w:p w14:paraId="10475E74" w14:textId="77777777" w:rsidR="00175585" w:rsidRPr="00ED5AD0" w:rsidRDefault="00175585" w:rsidP="00175585">
      <w:pPr>
        <w:ind w:left="786"/>
        <w:contextualSpacing/>
        <w:rPr>
          <w:rFonts w:cs="Arial"/>
          <w:szCs w:val="24"/>
        </w:rPr>
      </w:pPr>
    </w:p>
    <w:p w14:paraId="1CFF358D"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At the point of review, the supplement may be extended or removed. Where it is determined that a supplement is to be withdrawn, employees in receipt of these will be given 12 months’ notice of withdrawal.  At the end of that </w:t>
      </w:r>
      <w:proofErr w:type="gramStart"/>
      <w:r w:rsidRPr="00ED5AD0">
        <w:rPr>
          <w:rFonts w:cs="Arial"/>
          <w:szCs w:val="24"/>
        </w:rPr>
        <w:t>time</w:t>
      </w:r>
      <w:proofErr w:type="gramEnd"/>
      <w:r w:rsidRPr="00ED5AD0">
        <w:rPr>
          <w:rFonts w:cs="Arial"/>
          <w:szCs w:val="24"/>
        </w:rPr>
        <w:t xml:space="preserve"> they will revert to the substantive salary for their post.</w:t>
      </w:r>
    </w:p>
    <w:p w14:paraId="05B6188D" w14:textId="77777777" w:rsidR="00175585" w:rsidRPr="00ED5AD0" w:rsidRDefault="00175585" w:rsidP="00175585">
      <w:pPr>
        <w:ind w:left="786"/>
        <w:contextualSpacing/>
        <w:rPr>
          <w:rFonts w:cs="Arial"/>
          <w:szCs w:val="24"/>
        </w:rPr>
      </w:pPr>
    </w:p>
    <w:p w14:paraId="35D880C9" w14:textId="77777777" w:rsidR="00175585" w:rsidRPr="00ED5AD0" w:rsidRDefault="00175585" w:rsidP="00D32888">
      <w:pPr>
        <w:numPr>
          <w:ilvl w:val="0"/>
          <w:numId w:val="33"/>
        </w:numPr>
        <w:spacing w:after="200" w:line="276" w:lineRule="auto"/>
        <w:contextualSpacing/>
        <w:rPr>
          <w:rFonts w:cs="Arial"/>
          <w:szCs w:val="24"/>
        </w:rPr>
      </w:pPr>
      <w:r w:rsidRPr="00ED5AD0">
        <w:rPr>
          <w:rFonts w:cs="Arial"/>
          <w:szCs w:val="24"/>
        </w:rPr>
        <w:t xml:space="preserve">Senior Leadership Team will determine whether a supplement should be applied to specific posts, the number of additional pay points to be awarded and over what length of </w:t>
      </w:r>
      <w:proofErr w:type="gramStart"/>
      <w:r w:rsidRPr="00ED5AD0">
        <w:rPr>
          <w:rFonts w:cs="Arial"/>
          <w:szCs w:val="24"/>
        </w:rPr>
        <w:t>time, and</w:t>
      </w:r>
      <w:proofErr w:type="gramEnd"/>
      <w:r w:rsidRPr="00ED5AD0">
        <w:rPr>
          <w:rFonts w:cs="Arial"/>
          <w:szCs w:val="24"/>
        </w:rPr>
        <w:t xml:space="preserve"> will determine the action to be taken as the result of any review. </w:t>
      </w:r>
    </w:p>
    <w:p w14:paraId="4DD17543" w14:textId="77777777" w:rsidR="00FC0F37" w:rsidRPr="00ED5AD0" w:rsidRDefault="00FC0F37" w:rsidP="00175585">
      <w:pPr>
        <w:spacing w:after="200" w:line="276" w:lineRule="auto"/>
        <w:rPr>
          <w:rFonts w:eastAsia="Calibri"/>
          <w:sz w:val="20"/>
          <w:lang w:val="en-US"/>
        </w:rPr>
      </w:pPr>
    </w:p>
    <w:p w14:paraId="778C67CC" w14:textId="77777777" w:rsidR="00175585" w:rsidRPr="00ED5AD0" w:rsidRDefault="00FC0F37" w:rsidP="00175585">
      <w:pPr>
        <w:spacing w:after="200" w:line="276" w:lineRule="auto"/>
        <w:rPr>
          <w:rFonts w:eastAsia="Calibri"/>
          <w:sz w:val="20"/>
          <w:lang w:val="en-US"/>
        </w:rPr>
      </w:pPr>
      <w:r w:rsidRPr="00ED5AD0">
        <w:rPr>
          <w:rFonts w:eastAsia="Calibri"/>
          <w:sz w:val="20"/>
          <w:lang w:val="en-US"/>
        </w:rPr>
        <w:t>ACSC 2017</w:t>
      </w:r>
    </w:p>
    <w:p w14:paraId="607702DB" w14:textId="564E1AED" w:rsidR="00A12C89" w:rsidRPr="00ED5AD0" w:rsidRDefault="00175585" w:rsidP="00A12C89">
      <w:pPr>
        <w:jc w:val="right"/>
        <w:rPr>
          <w:b/>
          <w:bCs/>
        </w:rPr>
      </w:pPr>
      <w:r w:rsidRPr="00ED5AD0">
        <w:br w:type="page"/>
      </w:r>
      <w:r w:rsidR="00A12C89" w:rsidRPr="00ED5AD0">
        <w:rPr>
          <w:b/>
          <w:bCs/>
        </w:rPr>
        <w:lastRenderedPageBreak/>
        <w:t xml:space="preserve">Appendix B </w:t>
      </w:r>
    </w:p>
    <w:p w14:paraId="50B56E3D" w14:textId="77777777" w:rsidR="00DB1F3A" w:rsidRPr="00ED5AD0" w:rsidRDefault="00DB1F3A" w:rsidP="00DB1F3A">
      <w:pPr>
        <w:spacing w:after="75"/>
        <w:outlineLvl w:val="1"/>
        <w:rPr>
          <w:rFonts w:cs="Arial"/>
          <w:b/>
          <w:bCs/>
          <w:color w:val="232021"/>
          <w:sz w:val="37"/>
          <w:szCs w:val="37"/>
          <w:lang w:eastAsia="en-GB"/>
        </w:rPr>
      </w:pPr>
      <w:r w:rsidRPr="00ED5AD0">
        <w:rPr>
          <w:rFonts w:cs="Arial"/>
          <w:b/>
          <w:bCs/>
          <w:color w:val="232021"/>
          <w:sz w:val="37"/>
          <w:szCs w:val="37"/>
          <w:lang w:eastAsia="en-GB"/>
        </w:rPr>
        <w:t>Gender Pay Gap Data</w:t>
      </w:r>
    </w:p>
    <w:p w14:paraId="5B52FC77" w14:textId="7C9C15C7" w:rsidR="00DB1F3A" w:rsidRPr="00ED5AD0" w:rsidRDefault="00DB1F3A" w:rsidP="00DB1F3A">
      <w:pPr>
        <w:spacing w:afterAutospacing="1"/>
        <w:rPr>
          <w:rFonts w:cs="Arial"/>
          <w:color w:val="232021"/>
          <w:sz w:val="25"/>
          <w:szCs w:val="25"/>
          <w:lang w:eastAsia="en-GB"/>
        </w:rPr>
      </w:pPr>
      <w:r w:rsidRPr="00ED5AD0">
        <w:rPr>
          <w:rFonts w:cs="Arial"/>
          <w:b/>
          <w:bCs/>
          <w:color w:val="232021"/>
          <w:sz w:val="25"/>
          <w:szCs w:val="25"/>
          <w:lang w:eastAsia="en-GB"/>
        </w:rPr>
        <w:t xml:space="preserve">Gender Pay Gap as </w:t>
      </w:r>
      <w:proofErr w:type="gramStart"/>
      <w:r w:rsidRPr="00ED5AD0">
        <w:rPr>
          <w:rFonts w:cs="Arial"/>
          <w:b/>
          <w:bCs/>
          <w:color w:val="232021"/>
          <w:sz w:val="25"/>
          <w:szCs w:val="25"/>
          <w:lang w:eastAsia="en-GB"/>
        </w:rPr>
        <w:t>at</w:t>
      </w:r>
      <w:proofErr w:type="gramEnd"/>
      <w:r w:rsidRPr="00ED5AD0">
        <w:rPr>
          <w:rFonts w:cs="Arial"/>
          <w:b/>
          <w:bCs/>
          <w:color w:val="232021"/>
          <w:sz w:val="25"/>
          <w:szCs w:val="25"/>
          <w:lang w:eastAsia="en-GB"/>
        </w:rPr>
        <w:t xml:space="preserve"> 31 March 202</w:t>
      </w:r>
      <w:r w:rsidR="00F80F47" w:rsidRPr="00ED5AD0">
        <w:rPr>
          <w:rFonts w:cs="Arial"/>
          <w:b/>
          <w:bCs/>
          <w:color w:val="232021"/>
          <w:sz w:val="25"/>
          <w:szCs w:val="25"/>
          <w:lang w:eastAsia="en-GB"/>
        </w:rPr>
        <w:t>4</w:t>
      </w:r>
    </w:p>
    <w:p w14:paraId="1A2DA87C" w14:textId="77777777" w:rsidR="00EF3710" w:rsidRPr="00ED5AD0" w:rsidRDefault="00EF3710" w:rsidP="00DB1F3A">
      <w:pPr>
        <w:spacing w:before="120"/>
        <w:rPr>
          <w:snapToGrid w:val="0"/>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97"/>
        <w:gridCol w:w="937"/>
        <w:gridCol w:w="1076"/>
        <w:gridCol w:w="1073"/>
        <w:gridCol w:w="1073"/>
        <w:gridCol w:w="1073"/>
        <w:gridCol w:w="1073"/>
        <w:gridCol w:w="1030"/>
      </w:tblGrid>
      <w:tr w:rsidR="00F80F47" w:rsidRPr="00ED5AD0" w14:paraId="2E68634B" w14:textId="77777777" w:rsidTr="00F80F47">
        <w:tc>
          <w:tcPr>
            <w:tcW w:w="2066" w:type="dxa"/>
            <w:shd w:val="clear" w:color="auto" w:fill="auto"/>
          </w:tcPr>
          <w:p w14:paraId="2F70CD02" w14:textId="77777777" w:rsidR="00F80F47" w:rsidRPr="00ED5AD0" w:rsidRDefault="00F80F47" w:rsidP="00EF3710">
            <w:pPr>
              <w:spacing w:before="120"/>
              <w:rPr>
                <w:snapToGrid w:val="0"/>
              </w:rPr>
            </w:pPr>
          </w:p>
        </w:tc>
        <w:tc>
          <w:tcPr>
            <w:tcW w:w="759" w:type="dxa"/>
          </w:tcPr>
          <w:p w14:paraId="29C93AF0" w14:textId="7A7E15B6" w:rsidR="00F80F47" w:rsidRPr="00ED5AD0" w:rsidRDefault="00F80F47" w:rsidP="00EF3710">
            <w:pPr>
              <w:spacing w:before="120"/>
              <w:rPr>
                <w:b/>
                <w:snapToGrid w:val="0"/>
              </w:rPr>
            </w:pPr>
            <w:r w:rsidRPr="00ED5AD0">
              <w:rPr>
                <w:b/>
                <w:snapToGrid w:val="0"/>
              </w:rPr>
              <w:t>2024</w:t>
            </w:r>
          </w:p>
        </w:tc>
        <w:tc>
          <w:tcPr>
            <w:tcW w:w="943" w:type="dxa"/>
          </w:tcPr>
          <w:p w14:paraId="15758C16" w14:textId="68D40B7A" w:rsidR="00F80F47" w:rsidRPr="00ED5AD0" w:rsidRDefault="00F80F47" w:rsidP="00EF3710">
            <w:pPr>
              <w:spacing w:before="120"/>
              <w:rPr>
                <w:bCs/>
                <w:snapToGrid w:val="0"/>
              </w:rPr>
            </w:pPr>
            <w:r w:rsidRPr="00ED5AD0">
              <w:rPr>
                <w:bCs/>
                <w:snapToGrid w:val="0"/>
              </w:rPr>
              <w:t>2023</w:t>
            </w:r>
          </w:p>
        </w:tc>
        <w:tc>
          <w:tcPr>
            <w:tcW w:w="1082" w:type="dxa"/>
          </w:tcPr>
          <w:p w14:paraId="598BF0F9" w14:textId="77777777" w:rsidR="00F80F47" w:rsidRPr="00ED5AD0" w:rsidRDefault="00F80F47" w:rsidP="00EF3710">
            <w:pPr>
              <w:spacing w:before="120"/>
              <w:rPr>
                <w:snapToGrid w:val="0"/>
              </w:rPr>
            </w:pPr>
            <w:r w:rsidRPr="00ED5AD0">
              <w:rPr>
                <w:snapToGrid w:val="0"/>
              </w:rPr>
              <w:t>2022</w:t>
            </w:r>
          </w:p>
        </w:tc>
        <w:tc>
          <w:tcPr>
            <w:tcW w:w="1079" w:type="dxa"/>
            <w:shd w:val="clear" w:color="auto" w:fill="auto"/>
          </w:tcPr>
          <w:p w14:paraId="68A85726" w14:textId="77777777" w:rsidR="00F80F47" w:rsidRPr="00ED5AD0" w:rsidRDefault="00F80F47" w:rsidP="00EF3710">
            <w:pPr>
              <w:spacing w:before="120"/>
              <w:rPr>
                <w:snapToGrid w:val="0"/>
              </w:rPr>
            </w:pPr>
            <w:r w:rsidRPr="00ED5AD0">
              <w:rPr>
                <w:snapToGrid w:val="0"/>
              </w:rPr>
              <w:t>2021</w:t>
            </w:r>
          </w:p>
        </w:tc>
        <w:tc>
          <w:tcPr>
            <w:tcW w:w="1079" w:type="dxa"/>
            <w:shd w:val="clear" w:color="auto" w:fill="auto"/>
          </w:tcPr>
          <w:p w14:paraId="1D242CB7" w14:textId="77777777" w:rsidR="00F80F47" w:rsidRPr="00ED5AD0" w:rsidRDefault="00F80F47" w:rsidP="00EF3710">
            <w:pPr>
              <w:spacing w:before="120"/>
              <w:rPr>
                <w:snapToGrid w:val="0"/>
              </w:rPr>
            </w:pPr>
            <w:r w:rsidRPr="00ED5AD0">
              <w:rPr>
                <w:snapToGrid w:val="0"/>
              </w:rPr>
              <w:t>2020</w:t>
            </w:r>
          </w:p>
        </w:tc>
        <w:tc>
          <w:tcPr>
            <w:tcW w:w="1079" w:type="dxa"/>
            <w:shd w:val="clear" w:color="auto" w:fill="auto"/>
          </w:tcPr>
          <w:p w14:paraId="0FD42F24" w14:textId="77777777" w:rsidR="00F80F47" w:rsidRPr="00ED5AD0" w:rsidRDefault="00F80F47" w:rsidP="00EF3710">
            <w:pPr>
              <w:spacing w:before="120"/>
              <w:rPr>
                <w:snapToGrid w:val="0"/>
              </w:rPr>
            </w:pPr>
            <w:r w:rsidRPr="00ED5AD0">
              <w:rPr>
                <w:snapToGrid w:val="0"/>
              </w:rPr>
              <w:t>2019</w:t>
            </w:r>
          </w:p>
        </w:tc>
        <w:tc>
          <w:tcPr>
            <w:tcW w:w="1079" w:type="dxa"/>
            <w:shd w:val="clear" w:color="auto" w:fill="auto"/>
          </w:tcPr>
          <w:p w14:paraId="5A213691" w14:textId="77777777" w:rsidR="00F80F47" w:rsidRPr="00ED5AD0" w:rsidRDefault="00F80F47" w:rsidP="00EF3710">
            <w:pPr>
              <w:spacing w:before="120"/>
              <w:rPr>
                <w:snapToGrid w:val="0"/>
              </w:rPr>
            </w:pPr>
            <w:r w:rsidRPr="00ED5AD0">
              <w:rPr>
                <w:snapToGrid w:val="0"/>
              </w:rPr>
              <w:t>2018</w:t>
            </w:r>
          </w:p>
        </w:tc>
        <w:tc>
          <w:tcPr>
            <w:tcW w:w="1030" w:type="dxa"/>
            <w:shd w:val="clear" w:color="auto" w:fill="auto"/>
          </w:tcPr>
          <w:p w14:paraId="4737453F" w14:textId="77777777" w:rsidR="00F80F47" w:rsidRPr="00ED5AD0" w:rsidRDefault="00F80F47" w:rsidP="00EF3710">
            <w:pPr>
              <w:spacing w:before="120"/>
              <w:rPr>
                <w:snapToGrid w:val="0"/>
              </w:rPr>
            </w:pPr>
            <w:r w:rsidRPr="00ED5AD0">
              <w:rPr>
                <w:snapToGrid w:val="0"/>
              </w:rPr>
              <w:t>2017</w:t>
            </w:r>
          </w:p>
        </w:tc>
      </w:tr>
      <w:tr w:rsidR="008F6F92" w:rsidRPr="00ED5AD0" w14:paraId="0FEB9AB2" w14:textId="77777777" w:rsidTr="00F80F47">
        <w:tc>
          <w:tcPr>
            <w:tcW w:w="2066" w:type="dxa"/>
            <w:shd w:val="clear" w:color="auto" w:fill="auto"/>
          </w:tcPr>
          <w:p w14:paraId="75B6132D" w14:textId="77777777" w:rsidR="008F6F92" w:rsidRPr="00ED5AD0" w:rsidRDefault="008F6F92" w:rsidP="008F6F92">
            <w:pPr>
              <w:spacing w:before="120"/>
              <w:rPr>
                <w:snapToGrid w:val="0"/>
              </w:rPr>
            </w:pPr>
            <w:r w:rsidRPr="00ED5AD0">
              <w:rPr>
                <w:snapToGrid w:val="0"/>
              </w:rPr>
              <w:t>Mean gender pay gap;</w:t>
            </w:r>
          </w:p>
        </w:tc>
        <w:tc>
          <w:tcPr>
            <w:tcW w:w="759" w:type="dxa"/>
          </w:tcPr>
          <w:p w14:paraId="5B702574" w14:textId="4A7246F3" w:rsidR="008F6F92" w:rsidRPr="00ED5AD0" w:rsidRDefault="008F6F92" w:rsidP="008F6F92">
            <w:pPr>
              <w:spacing w:before="120"/>
              <w:rPr>
                <w:b/>
                <w:snapToGrid w:val="0"/>
              </w:rPr>
            </w:pPr>
            <w:r w:rsidRPr="00ED5AD0">
              <w:rPr>
                <w:b/>
                <w:snapToGrid w:val="0"/>
              </w:rPr>
              <w:t>4.1%</w:t>
            </w:r>
          </w:p>
        </w:tc>
        <w:tc>
          <w:tcPr>
            <w:tcW w:w="943" w:type="dxa"/>
          </w:tcPr>
          <w:p w14:paraId="650AAADE" w14:textId="27E6C714" w:rsidR="008F6F92" w:rsidRPr="00ED5AD0" w:rsidRDefault="008F6F92" w:rsidP="008F6F92">
            <w:pPr>
              <w:spacing w:before="120"/>
              <w:rPr>
                <w:bCs/>
                <w:snapToGrid w:val="0"/>
              </w:rPr>
            </w:pPr>
            <w:r w:rsidRPr="00ED5AD0">
              <w:rPr>
                <w:bCs/>
                <w:snapToGrid w:val="0"/>
              </w:rPr>
              <w:t>2.9%</w:t>
            </w:r>
          </w:p>
        </w:tc>
        <w:tc>
          <w:tcPr>
            <w:tcW w:w="1082" w:type="dxa"/>
          </w:tcPr>
          <w:p w14:paraId="6549FADC" w14:textId="77777777" w:rsidR="008F6F92" w:rsidRPr="00ED5AD0" w:rsidRDefault="008F6F92" w:rsidP="008F6F92">
            <w:pPr>
              <w:spacing w:before="120"/>
              <w:rPr>
                <w:snapToGrid w:val="0"/>
              </w:rPr>
            </w:pPr>
            <w:r w:rsidRPr="00ED5AD0">
              <w:rPr>
                <w:snapToGrid w:val="0"/>
              </w:rPr>
              <w:t>3.79%</w:t>
            </w:r>
          </w:p>
        </w:tc>
        <w:tc>
          <w:tcPr>
            <w:tcW w:w="1079" w:type="dxa"/>
            <w:shd w:val="clear" w:color="auto" w:fill="auto"/>
          </w:tcPr>
          <w:p w14:paraId="6229BF8F" w14:textId="77777777" w:rsidR="008F6F92" w:rsidRPr="00ED5AD0" w:rsidRDefault="008F6F92" w:rsidP="008F6F92">
            <w:pPr>
              <w:spacing w:before="120"/>
              <w:rPr>
                <w:snapToGrid w:val="0"/>
              </w:rPr>
            </w:pPr>
            <w:r w:rsidRPr="00ED5AD0">
              <w:rPr>
                <w:snapToGrid w:val="0"/>
              </w:rPr>
              <w:t>4.67%</w:t>
            </w:r>
          </w:p>
        </w:tc>
        <w:tc>
          <w:tcPr>
            <w:tcW w:w="1079" w:type="dxa"/>
            <w:shd w:val="clear" w:color="auto" w:fill="auto"/>
          </w:tcPr>
          <w:p w14:paraId="76A6B187" w14:textId="77777777" w:rsidR="008F6F92" w:rsidRPr="00ED5AD0" w:rsidRDefault="008F6F92" w:rsidP="008F6F92">
            <w:pPr>
              <w:spacing w:before="120"/>
              <w:rPr>
                <w:snapToGrid w:val="0"/>
              </w:rPr>
            </w:pPr>
            <w:r w:rsidRPr="00ED5AD0">
              <w:rPr>
                <w:snapToGrid w:val="0"/>
              </w:rPr>
              <w:t>2.53%</w:t>
            </w:r>
          </w:p>
        </w:tc>
        <w:tc>
          <w:tcPr>
            <w:tcW w:w="1079" w:type="dxa"/>
            <w:shd w:val="clear" w:color="auto" w:fill="auto"/>
          </w:tcPr>
          <w:p w14:paraId="73F58D6A" w14:textId="77777777" w:rsidR="008F6F92" w:rsidRPr="00ED5AD0" w:rsidRDefault="008F6F92" w:rsidP="008F6F92">
            <w:pPr>
              <w:spacing w:before="120"/>
              <w:rPr>
                <w:snapToGrid w:val="0"/>
              </w:rPr>
            </w:pPr>
            <w:r w:rsidRPr="00ED5AD0">
              <w:rPr>
                <w:snapToGrid w:val="0"/>
              </w:rPr>
              <w:t>1.31%</w:t>
            </w:r>
          </w:p>
        </w:tc>
        <w:tc>
          <w:tcPr>
            <w:tcW w:w="1079" w:type="dxa"/>
            <w:shd w:val="clear" w:color="auto" w:fill="auto"/>
          </w:tcPr>
          <w:p w14:paraId="2E3F01A3" w14:textId="77777777" w:rsidR="008F6F92" w:rsidRPr="00ED5AD0" w:rsidRDefault="008F6F92" w:rsidP="008F6F92">
            <w:pPr>
              <w:spacing w:before="120"/>
              <w:rPr>
                <w:snapToGrid w:val="0"/>
              </w:rPr>
            </w:pPr>
            <w:r w:rsidRPr="00ED5AD0">
              <w:rPr>
                <w:snapToGrid w:val="0"/>
              </w:rPr>
              <w:t>5.13%</w:t>
            </w:r>
          </w:p>
        </w:tc>
        <w:tc>
          <w:tcPr>
            <w:tcW w:w="1030" w:type="dxa"/>
            <w:shd w:val="clear" w:color="auto" w:fill="auto"/>
          </w:tcPr>
          <w:p w14:paraId="422E93DF" w14:textId="77777777" w:rsidR="008F6F92" w:rsidRPr="00ED5AD0" w:rsidRDefault="008F6F92" w:rsidP="008F6F92">
            <w:pPr>
              <w:spacing w:before="120"/>
              <w:rPr>
                <w:snapToGrid w:val="0"/>
              </w:rPr>
            </w:pPr>
            <w:r w:rsidRPr="00ED5AD0">
              <w:rPr>
                <w:snapToGrid w:val="0"/>
              </w:rPr>
              <w:t>2.99%</w:t>
            </w:r>
          </w:p>
        </w:tc>
      </w:tr>
      <w:tr w:rsidR="008F6F92" w:rsidRPr="00ED5AD0" w14:paraId="1E7AC541" w14:textId="77777777" w:rsidTr="00F80F47">
        <w:tc>
          <w:tcPr>
            <w:tcW w:w="2066" w:type="dxa"/>
            <w:shd w:val="clear" w:color="auto" w:fill="auto"/>
          </w:tcPr>
          <w:p w14:paraId="5C9A597B" w14:textId="77777777" w:rsidR="008F6F92" w:rsidRPr="00ED5AD0" w:rsidRDefault="008F6F92" w:rsidP="008F6F92">
            <w:pPr>
              <w:spacing w:before="120"/>
              <w:rPr>
                <w:snapToGrid w:val="0"/>
              </w:rPr>
            </w:pPr>
            <w:r w:rsidRPr="00ED5AD0">
              <w:rPr>
                <w:snapToGrid w:val="0"/>
              </w:rPr>
              <w:t>Median gender pay gap;</w:t>
            </w:r>
          </w:p>
        </w:tc>
        <w:tc>
          <w:tcPr>
            <w:tcW w:w="759" w:type="dxa"/>
          </w:tcPr>
          <w:p w14:paraId="23A1471B" w14:textId="1D18B125" w:rsidR="008F6F92" w:rsidRPr="00ED5AD0" w:rsidRDefault="008F6F92" w:rsidP="008F6F92">
            <w:pPr>
              <w:spacing w:before="120"/>
              <w:rPr>
                <w:b/>
                <w:snapToGrid w:val="0"/>
              </w:rPr>
            </w:pPr>
            <w:r w:rsidRPr="00ED5AD0">
              <w:rPr>
                <w:b/>
                <w:snapToGrid w:val="0"/>
              </w:rPr>
              <w:t>1.6%</w:t>
            </w:r>
          </w:p>
        </w:tc>
        <w:tc>
          <w:tcPr>
            <w:tcW w:w="943" w:type="dxa"/>
          </w:tcPr>
          <w:p w14:paraId="2867B414" w14:textId="7859AF26" w:rsidR="008F6F92" w:rsidRPr="00ED5AD0" w:rsidRDefault="008F6F92" w:rsidP="008F6F92">
            <w:pPr>
              <w:spacing w:before="120"/>
              <w:rPr>
                <w:bCs/>
                <w:snapToGrid w:val="0"/>
              </w:rPr>
            </w:pPr>
            <w:r w:rsidRPr="00ED5AD0">
              <w:rPr>
                <w:bCs/>
                <w:snapToGrid w:val="0"/>
              </w:rPr>
              <w:t>4.8%</w:t>
            </w:r>
          </w:p>
        </w:tc>
        <w:tc>
          <w:tcPr>
            <w:tcW w:w="1082" w:type="dxa"/>
          </w:tcPr>
          <w:p w14:paraId="2D74286D" w14:textId="77777777" w:rsidR="008F6F92" w:rsidRPr="00ED5AD0" w:rsidRDefault="008F6F92" w:rsidP="008F6F92">
            <w:pPr>
              <w:spacing w:before="120"/>
              <w:rPr>
                <w:snapToGrid w:val="0"/>
              </w:rPr>
            </w:pPr>
            <w:r w:rsidRPr="00ED5AD0">
              <w:rPr>
                <w:snapToGrid w:val="0"/>
              </w:rPr>
              <w:t>-1.51%*</w:t>
            </w:r>
          </w:p>
        </w:tc>
        <w:tc>
          <w:tcPr>
            <w:tcW w:w="1079" w:type="dxa"/>
            <w:shd w:val="clear" w:color="auto" w:fill="auto"/>
          </w:tcPr>
          <w:p w14:paraId="5C3FAA2C" w14:textId="77777777" w:rsidR="008F6F92" w:rsidRPr="00ED5AD0" w:rsidRDefault="008F6F92" w:rsidP="008F6F92">
            <w:pPr>
              <w:spacing w:before="120"/>
              <w:rPr>
                <w:snapToGrid w:val="0"/>
              </w:rPr>
            </w:pPr>
            <w:r w:rsidRPr="00ED5AD0">
              <w:rPr>
                <w:snapToGrid w:val="0"/>
              </w:rPr>
              <w:t>0.00%</w:t>
            </w:r>
          </w:p>
        </w:tc>
        <w:tc>
          <w:tcPr>
            <w:tcW w:w="1079" w:type="dxa"/>
            <w:shd w:val="clear" w:color="auto" w:fill="auto"/>
          </w:tcPr>
          <w:p w14:paraId="11704C41" w14:textId="77777777" w:rsidR="008F6F92" w:rsidRPr="00ED5AD0" w:rsidRDefault="008F6F92" w:rsidP="008F6F92">
            <w:pPr>
              <w:spacing w:before="120"/>
              <w:rPr>
                <w:snapToGrid w:val="0"/>
              </w:rPr>
            </w:pPr>
            <w:r w:rsidRPr="00ED5AD0">
              <w:rPr>
                <w:snapToGrid w:val="0"/>
              </w:rPr>
              <w:t>0.00%</w:t>
            </w:r>
          </w:p>
        </w:tc>
        <w:tc>
          <w:tcPr>
            <w:tcW w:w="1079" w:type="dxa"/>
            <w:shd w:val="clear" w:color="auto" w:fill="auto"/>
          </w:tcPr>
          <w:p w14:paraId="1C2A0D2B" w14:textId="77777777" w:rsidR="008F6F92" w:rsidRPr="00ED5AD0" w:rsidRDefault="008F6F92" w:rsidP="008F6F92">
            <w:pPr>
              <w:spacing w:before="120"/>
              <w:rPr>
                <w:snapToGrid w:val="0"/>
              </w:rPr>
            </w:pPr>
            <w:r w:rsidRPr="00ED5AD0">
              <w:rPr>
                <w:snapToGrid w:val="0"/>
              </w:rPr>
              <w:t>0.00%</w:t>
            </w:r>
          </w:p>
        </w:tc>
        <w:tc>
          <w:tcPr>
            <w:tcW w:w="1079" w:type="dxa"/>
            <w:shd w:val="clear" w:color="auto" w:fill="auto"/>
          </w:tcPr>
          <w:p w14:paraId="1447DCE7" w14:textId="77777777" w:rsidR="008F6F92" w:rsidRPr="00ED5AD0" w:rsidRDefault="008F6F92" w:rsidP="008F6F92">
            <w:pPr>
              <w:spacing w:before="120"/>
              <w:rPr>
                <w:snapToGrid w:val="0"/>
              </w:rPr>
            </w:pPr>
            <w:r w:rsidRPr="00ED5AD0">
              <w:rPr>
                <w:snapToGrid w:val="0"/>
              </w:rPr>
              <w:t>0.00%</w:t>
            </w:r>
          </w:p>
        </w:tc>
        <w:tc>
          <w:tcPr>
            <w:tcW w:w="1030" w:type="dxa"/>
            <w:shd w:val="clear" w:color="auto" w:fill="auto"/>
          </w:tcPr>
          <w:p w14:paraId="23F238D3" w14:textId="77777777" w:rsidR="008F6F92" w:rsidRPr="00ED5AD0" w:rsidRDefault="008F6F92" w:rsidP="008F6F92">
            <w:pPr>
              <w:spacing w:before="120"/>
              <w:rPr>
                <w:snapToGrid w:val="0"/>
              </w:rPr>
            </w:pPr>
            <w:r w:rsidRPr="00ED5AD0">
              <w:rPr>
                <w:snapToGrid w:val="0"/>
              </w:rPr>
              <w:t>1.92%</w:t>
            </w:r>
          </w:p>
        </w:tc>
      </w:tr>
      <w:tr w:rsidR="008F6F92" w:rsidRPr="00ED5AD0" w14:paraId="5B0122E3" w14:textId="77777777" w:rsidTr="00F80F47">
        <w:tc>
          <w:tcPr>
            <w:tcW w:w="2066" w:type="dxa"/>
            <w:shd w:val="clear" w:color="auto" w:fill="auto"/>
          </w:tcPr>
          <w:p w14:paraId="66EE16D8" w14:textId="77777777" w:rsidR="008F6F92" w:rsidRPr="00ED5AD0" w:rsidRDefault="008F6F92" w:rsidP="008F6F92">
            <w:pPr>
              <w:spacing w:before="120"/>
              <w:rPr>
                <w:snapToGrid w:val="0"/>
                <w:sz w:val="20"/>
              </w:rPr>
            </w:pPr>
            <w:r w:rsidRPr="00ED5AD0">
              <w:rPr>
                <w:snapToGrid w:val="0"/>
                <w:sz w:val="20"/>
              </w:rPr>
              <w:t>Proportion of men with bonus</w:t>
            </w:r>
            <w:r w:rsidRPr="00ED5AD0">
              <w:rPr>
                <w:snapToGrid w:val="0"/>
                <w:szCs w:val="24"/>
              </w:rPr>
              <w:t>**</w:t>
            </w:r>
          </w:p>
        </w:tc>
        <w:tc>
          <w:tcPr>
            <w:tcW w:w="759" w:type="dxa"/>
          </w:tcPr>
          <w:p w14:paraId="759AAA40" w14:textId="57509C40" w:rsidR="008F6F92" w:rsidRPr="00ED5AD0" w:rsidRDefault="008F6F92" w:rsidP="008F6F92">
            <w:pPr>
              <w:spacing w:before="120"/>
              <w:rPr>
                <w:b/>
                <w:snapToGrid w:val="0"/>
              </w:rPr>
            </w:pPr>
            <w:r w:rsidRPr="00ED5AD0">
              <w:rPr>
                <w:b/>
                <w:snapToGrid w:val="0"/>
              </w:rPr>
              <w:t>0%</w:t>
            </w:r>
          </w:p>
        </w:tc>
        <w:tc>
          <w:tcPr>
            <w:tcW w:w="943" w:type="dxa"/>
          </w:tcPr>
          <w:p w14:paraId="56EF3A34" w14:textId="7D31ABD9" w:rsidR="008F6F92" w:rsidRPr="00ED5AD0" w:rsidRDefault="008F6F92" w:rsidP="008F6F92">
            <w:pPr>
              <w:spacing w:before="120"/>
              <w:rPr>
                <w:bCs/>
                <w:snapToGrid w:val="0"/>
              </w:rPr>
            </w:pPr>
            <w:r w:rsidRPr="00ED5AD0">
              <w:rPr>
                <w:bCs/>
                <w:snapToGrid w:val="0"/>
              </w:rPr>
              <w:t>0.8%</w:t>
            </w:r>
          </w:p>
        </w:tc>
        <w:tc>
          <w:tcPr>
            <w:tcW w:w="1082" w:type="dxa"/>
          </w:tcPr>
          <w:p w14:paraId="3298BFA6" w14:textId="77777777" w:rsidR="008F6F92" w:rsidRPr="00ED5AD0" w:rsidRDefault="008F6F92" w:rsidP="008F6F92">
            <w:pPr>
              <w:spacing w:before="120"/>
              <w:rPr>
                <w:snapToGrid w:val="0"/>
              </w:rPr>
            </w:pPr>
            <w:r w:rsidRPr="00ED5AD0">
              <w:rPr>
                <w:snapToGrid w:val="0"/>
              </w:rPr>
              <w:t>1.17%</w:t>
            </w:r>
          </w:p>
        </w:tc>
        <w:tc>
          <w:tcPr>
            <w:tcW w:w="1079" w:type="dxa"/>
            <w:shd w:val="clear" w:color="auto" w:fill="auto"/>
          </w:tcPr>
          <w:p w14:paraId="28FD0638" w14:textId="77777777" w:rsidR="008F6F92" w:rsidRPr="00ED5AD0" w:rsidRDefault="008F6F92" w:rsidP="008F6F92">
            <w:pPr>
              <w:spacing w:before="120"/>
              <w:rPr>
                <w:snapToGrid w:val="0"/>
              </w:rPr>
            </w:pPr>
            <w:r w:rsidRPr="00ED5AD0">
              <w:rPr>
                <w:snapToGrid w:val="0"/>
              </w:rPr>
              <w:t>1.79%</w:t>
            </w:r>
          </w:p>
        </w:tc>
        <w:tc>
          <w:tcPr>
            <w:tcW w:w="1079" w:type="dxa"/>
            <w:shd w:val="clear" w:color="auto" w:fill="auto"/>
          </w:tcPr>
          <w:p w14:paraId="0DE44DB1" w14:textId="77777777" w:rsidR="008F6F92" w:rsidRPr="00ED5AD0" w:rsidRDefault="008F6F92" w:rsidP="008F6F92">
            <w:pPr>
              <w:spacing w:before="120"/>
              <w:rPr>
                <w:snapToGrid w:val="0"/>
              </w:rPr>
            </w:pPr>
            <w:r w:rsidRPr="00ED5AD0">
              <w:rPr>
                <w:snapToGrid w:val="0"/>
              </w:rPr>
              <w:t>1.37%</w:t>
            </w:r>
          </w:p>
        </w:tc>
        <w:tc>
          <w:tcPr>
            <w:tcW w:w="1079" w:type="dxa"/>
            <w:shd w:val="clear" w:color="auto" w:fill="auto"/>
          </w:tcPr>
          <w:p w14:paraId="0A852D63" w14:textId="77777777" w:rsidR="008F6F92" w:rsidRPr="00ED5AD0" w:rsidRDefault="008F6F92" w:rsidP="008F6F92">
            <w:pPr>
              <w:spacing w:before="120"/>
              <w:rPr>
                <w:snapToGrid w:val="0"/>
              </w:rPr>
            </w:pPr>
            <w:r w:rsidRPr="00ED5AD0">
              <w:rPr>
                <w:snapToGrid w:val="0"/>
              </w:rPr>
              <w:t>1.05%</w:t>
            </w:r>
          </w:p>
        </w:tc>
        <w:tc>
          <w:tcPr>
            <w:tcW w:w="1079" w:type="dxa"/>
            <w:shd w:val="clear" w:color="auto" w:fill="auto"/>
          </w:tcPr>
          <w:p w14:paraId="322AD747" w14:textId="77777777" w:rsidR="008F6F92" w:rsidRPr="00ED5AD0" w:rsidRDefault="008F6F92" w:rsidP="008F6F92">
            <w:pPr>
              <w:spacing w:before="120"/>
              <w:rPr>
                <w:snapToGrid w:val="0"/>
              </w:rPr>
            </w:pPr>
            <w:r w:rsidRPr="00ED5AD0">
              <w:rPr>
                <w:snapToGrid w:val="0"/>
              </w:rPr>
              <w:t>0.00%</w:t>
            </w:r>
          </w:p>
        </w:tc>
        <w:tc>
          <w:tcPr>
            <w:tcW w:w="1030" w:type="dxa"/>
            <w:shd w:val="clear" w:color="auto" w:fill="auto"/>
          </w:tcPr>
          <w:p w14:paraId="30918DFE" w14:textId="77777777" w:rsidR="008F6F92" w:rsidRPr="00ED5AD0" w:rsidRDefault="008F6F92" w:rsidP="008F6F92">
            <w:pPr>
              <w:spacing w:before="120"/>
              <w:rPr>
                <w:snapToGrid w:val="0"/>
              </w:rPr>
            </w:pPr>
            <w:r w:rsidRPr="00ED5AD0">
              <w:rPr>
                <w:snapToGrid w:val="0"/>
              </w:rPr>
              <w:t>0.00%</w:t>
            </w:r>
          </w:p>
        </w:tc>
      </w:tr>
      <w:tr w:rsidR="008F6F92" w:rsidRPr="00ED5AD0" w14:paraId="2F3D9CB0" w14:textId="77777777" w:rsidTr="00F80F47">
        <w:tc>
          <w:tcPr>
            <w:tcW w:w="2066" w:type="dxa"/>
            <w:shd w:val="clear" w:color="auto" w:fill="auto"/>
          </w:tcPr>
          <w:p w14:paraId="55A44198" w14:textId="77777777" w:rsidR="008F6F92" w:rsidRPr="00ED5AD0" w:rsidRDefault="008F6F92" w:rsidP="008F6F92">
            <w:pPr>
              <w:spacing w:before="120"/>
              <w:rPr>
                <w:snapToGrid w:val="0"/>
                <w:sz w:val="20"/>
              </w:rPr>
            </w:pPr>
            <w:r w:rsidRPr="00ED5AD0">
              <w:rPr>
                <w:snapToGrid w:val="0"/>
                <w:sz w:val="20"/>
              </w:rPr>
              <w:t>Proportion of women with bonus</w:t>
            </w:r>
            <w:r w:rsidRPr="00ED5AD0">
              <w:rPr>
                <w:snapToGrid w:val="0"/>
                <w:szCs w:val="24"/>
              </w:rPr>
              <w:t>**</w:t>
            </w:r>
          </w:p>
        </w:tc>
        <w:tc>
          <w:tcPr>
            <w:tcW w:w="759" w:type="dxa"/>
          </w:tcPr>
          <w:p w14:paraId="27EB11AF" w14:textId="4A872BD9" w:rsidR="008F6F92" w:rsidRPr="00ED5AD0" w:rsidRDefault="008F6F92" w:rsidP="008F6F92">
            <w:pPr>
              <w:spacing w:before="120"/>
              <w:rPr>
                <w:b/>
                <w:snapToGrid w:val="0"/>
              </w:rPr>
            </w:pPr>
            <w:r w:rsidRPr="00ED5AD0">
              <w:rPr>
                <w:b/>
                <w:snapToGrid w:val="0"/>
              </w:rPr>
              <w:t>0%</w:t>
            </w:r>
          </w:p>
        </w:tc>
        <w:tc>
          <w:tcPr>
            <w:tcW w:w="943" w:type="dxa"/>
          </w:tcPr>
          <w:p w14:paraId="197549F9" w14:textId="4982545B" w:rsidR="008F6F92" w:rsidRPr="00ED5AD0" w:rsidRDefault="008F6F92" w:rsidP="008F6F92">
            <w:pPr>
              <w:spacing w:before="120"/>
              <w:rPr>
                <w:bCs/>
                <w:snapToGrid w:val="0"/>
              </w:rPr>
            </w:pPr>
            <w:r w:rsidRPr="00ED5AD0">
              <w:rPr>
                <w:bCs/>
                <w:snapToGrid w:val="0"/>
              </w:rPr>
              <w:t>0.4%</w:t>
            </w:r>
          </w:p>
        </w:tc>
        <w:tc>
          <w:tcPr>
            <w:tcW w:w="1082" w:type="dxa"/>
          </w:tcPr>
          <w:p w14:paraId="43A3A28F" w14:textId="77777777" w:rsidR="008F6F92" w:rsidRPr="00ED5AD0" w:rsidRDefault="008F6F92" w:rsidP="008F6F92">
            <w:pPr>
              <w:spacing w:before="120"/>
              <w:rPr>
                <w:snapToGrid w:val="0"/>
              </w:rPr>
            </w:pPr>
            <w:r w:rsidRPr="00ED5AD0">
              <w:rPr>
                <w:snapToGrid w:val="0"/>
              </w:rPr>
              <w:t>0.37%</w:t>
            </w:r>
          </w:p>
        </w:tc>
        <w:tc>
          <w:tcPr>
            <w:tcW w:w="1079" w:type="dxa"/>
            <w:shd w:val="clear" w:color="auto" w:fill="auto"/>
          </w:tcPr>
          <w:p w14:paraId="77A01E43" w14:textId="77777777" w:rsidR="008F6F92" w:rsidRPr="00ED5AD0" w:rsidRDefault="008F6F92" w:rsidP="008F6F92">
            <w:pPr>
              <w:spacing w:before="120"/>
              <w:rPr>
                <w:snapToGrid w:val="0"/>
              </w:rPr>
            </w:pPr>
            <w:r w:rsidRPr="00ED5AD0">
              <w:rPr>
                <w:snapToGrid w:val="0"/>
              </w:rPr>
              <w:t>0.68%</w:t>
            </w:r>
          </w:p>
        </w:tc>
        <w:tc>
          <w:tcPr>
            <w:tcW w:w="1079" w:type="dxa"/>
            <w:shd w:val="clear" w:color="auto" w:fill="auto"/>
          </w:tcPr>
          <w:p w14:paraId="54B5FA22" w14:textId="77777777" w:rsidR="008F6F92" w:rsidRPr="00ED5AD0" w:rsidRDefault="008F6F92" w:rsidP="008F6F92">
            <w:pPr>
              <w:spacing w:before="120"/>
              <w:rPr>
                <w:snapToGrid w:val="0"/>
              </w:rPr>
            </w:pPr>
            <w:r w:rsidRPr="00ED5AD0">
              <w:rPr>
                <w:snapToGrid w:val="0"/>
              </w:rPr>
              <w:t>0.69%</w:t>
            </w:r>
          </w:p>
        </w:tc>
        <w:tc>
          <w:tcPr>
            <w:tcW w:w="1079" w:type="dxa"/>
            <w:shd w:val="clear" w:color="auto" w:fill="auto"/>
          </w:tcPr>
          <w:p w14:paraId="6449C5B0" w14:textId="77777777" w:rsidR="008F6F92" w:rsidRPr="00ED5AD0" w:rsidRDefault="008F6F92" w:rsidP="008F6F92">
            <w:pPr>
              <w:spacing w:before="120"/>
              <w:rPr>
                <w:snapToGrid w:val="0"/>
              </w:rPr>
            </w:pPr>
            <w:r w:rsidRPr="00ED5AD0">
              <w:rPr>
                <w:snapToGrid w:val="0"/>
              </w:rPr>
              <w:t>0.66%</w:t>
            </w:r>
          </w:p>
        </w:tc>
        <w:tc>
          <w:tcPr>
            <w:tcW w:w="1079" w:type="dxa"/>
            <w:shd w:val="clear" w:color="auto" w:fill="auto"/>
          </w:tcPr>
          <w:p w14:paraId="7D31DAE2" w14:textId="77777777" w:rsidR="008F6F92" w:rsidRPr="00ED5AD0" w:rsidRDefault="008F6F92" w:rsidP="008F6F92">
            <w:pPr>
              <w:spacing w:before="120"/>
              <w:rPr>
                <w:snapToGrid w:val="0"/>
              </w:rPr>
            </w:pPr>
            <w:r w:rsidRPr="00ED5AD0">
              <w:rPr>
                <w:snapToGrid w:val="0"/>
              </w:rPr>
              <w:t>0.97%</w:t>
            </w:r>
          </w:p>
        </w:tc>
        <w:tc>
          <w:tcPr>
            <w:tcW w:w="1030" w:type="dxa"/>
            <w:shd w:val="clear" w:color="auto" w:fill="auto"/>
          </w:tcPr>
          <w:p w14:paraId="7CA70A28" w14:textId="77777777" w:rsidR="008F6F92" w:rsidRPr="00ED5AD0" w:rsidRDefault="008F6F92" w:rsidP="008F6F92">
            <w:pPr>
              <w:spacing w:before="120"/>
              <w:rPr>
                <w:snapToGrid w:val="0"/>
              </w:rPr>
            </w:pPr>
            <w:r w:rsidRPr="00ED5AD0">
              <w:rPr>
                <w:snapToGrid w:val="0"/>
              </w:rPr>
              <w:t>0.96%</w:t>
            </w:r>
          </w:p>
        </w:tc>
      </w:tr>
      <w:tr w:rsidR="008F6F92" w:rsidRPr="00ED5AD0" w14:paraId="3CFDC335" w14:textId="77777777" w:rsidTr="00F80F47">
        <w:tc>
          <w:tcPr>
            <w:tcW w:w="2066" w:type="dxa"/>
            <w:shd w:val="clear" w:color="auto" w:fill="auto"/>
          </w:tcPr>
          <w:p w14:paraId="69B0E506" w14:textId="77777777" w:rsidR="008F6F92" w:rsidRPr="00ED5AD0" w:rsidRDefault="008F6F92" w:rsidP="008F6F92">
            <w:pPr>
              <w:spacing w:before="120"/>
              <w:rPr>
                <w:snapToGrid w:val="0"/>
                <w:sz w:val="20"/>
              </w:rPr>
            </w:pPr>
            <w:r w:rsidRPr="00ED5AD0">
              <w:rPr>
                <w:snapToGrid w:val="0"/>
                <w:sz w:val="20"/>
              </w:rPr>
              <w:t>Mean bonus** gender pay gap</w:t>
            </w:r>
          </w:p>
        </w:tc>
        <w:tc>
          <w:tcPr>
            <w:tcW w:w="759" w:type="dxa"/>
          </w:tcPr>
          <w:p w14:paraId="5438B6F8" w14:textId="3EAA138D" w:rsidR="008F6F92" w:rsidRPr="00ED5AD0" w:rsidRDefault="008F6F92" w:rsidP="008F6F92">
            <w:pPr>
              <w:spacing w:before="120"/>
              <w:rPr>
                <w:b/>
                <w:snapToGrid w:val="0"/>
                <w:sz w:val="20"/>
              </w:rPr>
            </w:pPr>
            <w:r w:rsidRPr="00ED5AD0">
              <w:rPr>
                <w:b/>
                <w:snapToGrid w:val="0"/>
                <w:sz w:val="20"/>
              </w:rPr>
              <w:t>N/a</w:t>
            </w:r>
          </w:p>
        </w:tc>
        <w:tc>
          <w:tcPr>
            <w:tcW w:w="943" w:type="dxa"/>
          </w:tcPr>
          <w:p w14:paraId="424F1642" w14:textId="00122C43" w:rsidR="008F6F92" w:rsidRPr="00ED5AD0" w:rsidRDefault="008F6F92" w:rsidP="008F6F92">
            <w:pPr>
              <w:spacing w:before="120"/>
              <w:rPr>
                <w:bCs/>
                <w:snapToGrid w:val="0"/>
                <w:sz w:val="20"/>
              </w:rPr>
            </w:pPr>
            <w:r w:rsidRPr="00ED5AD0">
              <w:rPr>
                <w:bCs/>
                <w:snapToGrid w:val="0"/>
                <w:sz w:val="20"/>
              </w:rPr>
              <w:t>32.1%</w:t>
            </w:r>
          </w:p>
        </w:tc>
        <w:tc>
          <w:tcPr>
            <w:tcW w:w="1082" w:type="dxa"/>
          </w:tcPr>
          <w:p w14:paraId="6F15BE36" w14:textId="77777777" w:rsidR="008F6F92" w:rsidRPr="00ED5AD0" w:rsidRDefault="008F6F92" w:rsidP="008F6F92">
            <w:pPr>
              <w:spacing w:before="120"/>
              <w:rPr>
                <w:snapToGrid w:val="0"/>
              </w:rPr>
            </w:pPr>
            <w:r w:rsidRPr="00ED5AD0">
              <w:rPr>
                <w:snapToGrid w:val="0"/>
              </w:rPr>
              <w:t>18.8%</w:t>
            </w:r>
          </w:p>
        </w:tc>
        <w:tc>
          <w:tcPr>
            <w:tcW w:w="1079" w:type="dxa"/>
            <w:shd w:val="clear" w:color="auto" w:fill="auto"/>
          </w:tcPr>
          <w:p w14:paraId="302F0E76" w14:textId="77777777" w:rsidR="008F6F92" w:rsidRPr="00ED5AD0" w:rsidRDefault="008F6F92" w:rsidP="008F6F92">
            <w:pPr>
              <w:spacing w:before="120"/>
              <w:rPr>
                <w:snapToGrid w:val="0"/>
              </w:rPr>
            </w:pPr>
            <w:r w:rsidRPr="00ED5AD0">
              <w:rPr>
                <w:snapToGrid w:val="0"/>
              </w:rPr>
              <w:t>1.72%</w:t>
            </w:r>
          </w:p>
        </w:tc>
        <w:tc>
          <w:tcPr>
            <w:tcW w:w="1079" w:type="dxa"/>
            <w:shd w:val="clear" w:color="auto" w:fill="auto"/>
          </w:tcPr>
          <w:p w14:paraId="184A8DA0" w14:textId="77777777" w:rsidR="008F6F92" w:rsidRPr="00ED5AD0" w:rsidRDefault="008F6F92" w:rsidP="008F6F92">
            <w:pPr>
              <w:spacing w:before="120"/>
              <w:rPr>
                <w:snapToGrid w:val="0"/>
              </w:rPr>
            </w:pPr>
            <w:r w:rsidRPr="00ED5AD0">
              <w:rPr>
                <w:snapToGrid w:val="0"/>
              </w:rPr>
              <w:t>1.67%</w:t>
            </w:r>
          </w:p>
        </w:tc>
        <w:tc>
          <w:tcPr>
            <w:tcW w:w="1079" w:type="dxa"/>
            <w:shd w:val="clear" w:color="auto" w:fill="auto"/>
          </w:tcPr>
          <w:p w14:paraId="7F27F4E9" w14:textId="77777777" w:rsidR="008F6F92" w:rsidRPr="00ED5AD0" w:rsidRDefault="008F6F92" w:rsidP="008F6F92">
            <w:pPr>
              <w:spacing w:before="120"/>
              <w:rPr>
                <w:snapToGrid w:val="0"/>
              </w:rPr>
            </w:pPr>
            <w:r w:rsidRPr="00ED5AD0">
              <w:rPr>
                <w:snapToGrid w:val="0"/>
              </w:rPr>
              <w:t>1.72%</w:t>
            </w:r>
          </w:p>
        </w:tc>
        <w:tc>
          <w:tcPr>
            <w:tcW w:w="1079" w:type="dxa"/>
            <w:shd w:val="clear" w:color="auto" w:fill="auto"/>
          </w:tcPr>
          <w:p w14:paraId="3AEB7AEB" w14:textId="77777777" w:rsidR="008F6F92" w:rsidRPr="00ED5AD0" w:rsidRDefault="008F6F92" w:rsidP="008F6F92">
            <w:pPr>
              <w:spacing w:before="120"/>
              <w:rPr>
                <w:snapToGrid w:val="0"/>
              </w:rPr>
            </w:pPr>
            <w:r w:rsidRPr="00ED5AD0">
              <w:rPr>
                <w:snapToGrid w:val="0"/>
              </w:rPr>
              <w:t>n/a</w:t>
            </w:r>
          </w:p>
        </w:tc>
        <w:tc>
          <w:tcPr>
            <w:tcW w:w="1030" w:type="dxa"/>
            <w:shd w:val="clear" w:color="auto" w:fill="auto"/>
          </w:tcPr>
          <w:p w14:paraId="76D74EFA" w14:textId="77777777" w:rsidR="008F6F92" w:rsidRPr="00ED5AD0" w:rsidRDefault="008F6F92" w:rsidP="008F6F92">
            <w:pPr>
              <w:spacing w:before="120"/>
              <w:rPr>
                <w:snapToGrid w:val="0"/>
              </w:rPr>
            </w:pPr>
            <w:r w:rsidRPr="00ED5AD0">
              <w:rPr>
                <w:snapToGrid w:val="0"/>
              </w:rPr>
              <w:t>n/a</w:t>
            </w:r>
          </w:p>
        </w:tc>
      </w:tr>
      <w:tr w:rsidR="008F6F92" w:rsidRPr="00ED5AD0" w14:paraId="2E38DEA3" w14:textId="77777777" w:rsidTr="00F80F47">
        <w:tc>
          <w:tcPr>
            <w:tcW w:w="2066" w:type="dxa"/>
            <w:shd w:val="clear" w:color="auto" w:fill="auto"/>
          </w:tcPr>
          <w:p w14:paraId="6E36A1CA" w14:textId="77777777" w:rsidR="008F6F92" w:rsidRPr="00ED5AD0" w:rsidRDefault="008F6F92" w:rsidP="008F6F92">
            <w:pPr>
              <w:spacing w:before="120"/>
              <w:rPr>
                <w:snapToGrid w:val="0"/>
                <w:sz w:val="20"/>
              </w:rPr>
            </w:pPr>
            <w:r w:rsidRPr="00ED5AD0">
              <w:rPr>
                <w:snapToGrid w:val="0"/>
                <w:sz w:val="20"/>
              </w:rPr>
              <w:t>Median bonus** gender pay gap</w:t>
            </w:r>
          </w:p>
        </w:tc>
        <w:tc>
          <w:tcPr>
            <w:tcW w:w="759" w:type="dxa"/>
          </w:tcPr>
          <w:p w14:paraId="310914C4" w14:textId="1DBCDB65" w:rsidR="008F6F92" w:rsidRPr="00ED5AD0" w:rsidRDefault="008F6F92" w:rsidP="008F6F92">
            <w:pPr>
              <w:spacing w:before="120"/>
              <w:rPr>
                <w:b/>
                <w:snapToGrid w:val="0"/>
                <w:sz w:val="20"/>
              </w:rPr>
            </w:pPr>
            <w:r w:rsidRPr="00ED5AD0">
              <w:rPr>
                <w:b/>
                <w:snapToGrid w:val="0"/>
                <w:sz w:val="20"/>
              </w:rPr>
              <w:t>N/a</w:t>
            </w:r>
          </w:p>
        </w:tc>
        <w:tc>
          <w:tcPr>
            <w:tcW w:w="943" w:type="dxa"/>
          </w:tcPr>
          <w:p w14:paraId="40E9C4E8" w14:textId="1ED01D84" w:rsidR="008F6F92" w:rsidRPr="00ED5AD0" w:rsidRDefault="008F6F92" w:rsidP="008F6F92">
            <w:pPr>
              <w:spacing w:before="120"/>
              <w:rPr>
                <w:bCs/>
                <w:snapToGrid w:val="0"/>
                <w:sz w:val="20"/>
              </w:rPr>
            </w:pPr>
            <w:r w:rsidRPr="00ED5AD0">
              <w:rPr>
                <w:bCs/>
                <w:snapToGrid w:val="0"/>
                <w:sz w:val="20"/>
              </w:rPr>
              <w:t>-47.0%*</w:t>
            </w:r>
          </w:p>
        </w:tc>
        <w:tc>
          <w:tcPr>
            <w:tcW w:w="1082" w:type="dxa"/>
          </w:tcPr>
          <w:p w14:paraId="6333E24E" w14:textId="77777777" w:rsidR="008F6F92" w:rsidRPr="00ED5AD0" w:rsidRDefault="008F6F92" w:rsidP="008F6F92">
            <w:pPr>
              <w:spacing w:before="120"/>
              <w:rPr>
                <w:snapToGrid w:val="0"/>
              </w:rPr>
            </w:pPr>
            <w:r w:rsidRPr="00ED5AD0">
              <w:rPr>
                <w:snapToGrid w:val="0"/>
              </w:rPr>
              <w:t>1.84%</w:t>
            </w:r>
          </w:p>
        </w:tc>
        <w:tc>
          <w:tcPr>
            <w:tcW w:w="1079" w:type="dxa"/>
            <w:shd w:val="clear" w:color="auto" w:fill="auto"/>
          </w:tcPr>
          <w:p w14:paraId="587DA4FF" w14:textId="77777777" w:rsidR="008F6F92" w:rsidRPr="00ED5AD0" w:rsidRDefault="008F6F92" w:rsidP="008F6F92">
            <w:pPr>
              <w:spacing w:before="120"/>
              <w:rPr>
                <w:snapToGrid w:val="0"/>
              </w:rPr>
            </w:pPr>
            <w:r w:rsidRPr="00ED5AD0">
              <w:rPr>
                <w:snapToGrid w:val="0"/>
              </w:rPr>
              <w:t>1.84%</w:t>
            </w:r>
          </w:p>
        </w:tc>
        <w:tc>
          <w:tcPr>
            <w:tcW w:w="1079" w:type="dxa"/>
            <w:shd w:val="clear" w:color="auto" w:fill="auto"/>
          </w:tcPr>
          <w:p w14:paraId="672FC298" w14:textId="77777777" w:rsidR="008F6F92" w:rsidRPr="00ED5AD0" w:rsidRDefault="008F6F92" w:rsidP="008F6F92">
            <w:pPr>
              <w:spacing w:before="120"/>
              <w:rPr>
                <w:snapToGrid w:val="0"/>
              </w:rPr>
            </w:pPr>
            <w:r w:rsidRPr="00ED5AD0">
              <w:rPr>
                <w:snapToGrid w:val="0"/>
              </w:rPr>
              <w:t>1.65%</w:t>
            </w:r>
          </w:p>
        </w:tc>
        <w:tc>
          <w:tcPr>
            <w:tcW w:w="1079" w:type="dxa"/>
            <w:shd w:val="clear" w:color="auto" w:fill="auto"/>
          </w:tcPr>
          <w:p w14:paraId="2E493A01" w14:textId="77777777" w:rsidR="008F6F92" w:rsidRPr="00ED5AD0" w:rsidRDefault="008F6F92" w:rsidP="008F6F92">
            <w:pPr>
              <w:spacing w:before="120"/>
              <w:rPr>
                <w:snapToGrid w:val="0"/>
              </w:rPr>
            </w:pPr>
            <w:r w:rsidRPr="00ED5AD0">
              <w:rPr>
                <w:snapToGrid w:val="0"/>
              </w:rPr>
              <w:t>1.82%</w:t>
            </w:r>
          </w:p>
        </w:tc>
        <w:tc>
          <w:tcPr>
            <w:tcW w:w="1079" w:type="dxa"/>
            <w:shd w:val="clear" w:color="auto" w:fill="auto"/>
          </w:tcPr>
          <w:p w14:paraId="4A430AB6" w14:textId="77777777" w:rsidR="008F6F92" w:rsidRPr="00ED5AD0" w:rsidRDefault="008F6F92" w:rsidP="008F6F92">
            <w:pPr>
              <w:spacing w:before="120"/>
              <w:rPr>
                <w:snapToGrid w:val="0"/>
              </w:rPr>
            </w:pPr>
            <w:r w:rsidRPr="00ED5AD0">
              <w:rPr>
                <w:snapToGrid w:val="0"/>
              </w:rPr>
              <w:t>n/a</w:t>
            </w:r>
          </w:p>
        </w:tc>
        <w:tc>
          <w:tcPr>
            <w:tcW w:w="1030" w:type="dxa"/>
            <w:shd w:val="clear" w:color="auto" w:fill="auto"/>
          </w:tcPr>
          <w:p w14:paraId="08FEB380" w14:textId="77777777" w:rsidR="008F6F92" w:rsidRPr="00ED5AD0" w:rsidRDefault="008F6F92" w:rsidP="008F6F92">
            <w:pPr>
              <w:spacing w:before="120"/>
              <w:rPr>
                <w:snapToGrid w:val="0"/>
              </w:rPr>
            </w:pPr>
            <w:r w:rsidRPr="00ED5AD0">
              <w:rPr>
                <w:snapToGrid w:val="0"/>
              </w:rPr>
              <w:t>n/a</w:t>
            </w:r>
          </w:p>
        </w:tc>
      </w:tr>
      <w:tr w:rsidR="008F6F92" w:rsidRPr="00ED5AD0" w14:paraId="1DFE4D24" w14:textId="77777777" w:rsidTr="00F80F47">
        <w:tc>
          <w:tcPr>
            <w:tcW w:w="2066" w:type="dxa"/>
            <w:shd w:val="clear" w:color="auto" w:fill="auto"/>
          </w:tcPr>
          <w:p w14:paraId="56C1E257" w14:textId="77777777" w:rsidR="008F6F92" w:rsidRPr="00ED5AD0" w:rsidRDefault="008F6F92" w:rsidP="008F6F92">
            <w:pPr>
              <w:spacing w:before="120"/>
              <w:rPr>
                <w:snapToGrid w:val="0"/>
              </w:rPr>
            </w:pPr>
          </w:p>
        </w:tc>
        <w:tc>
          <w:tcPr>
            <w:tcW w:w="759" w:type="dxa"/>
          </w:tcPr>
          <w:p w14:paraId="5A366968" w14:textId="77777777" w:rsidR="008F6F92" w:rsidRPr="00ED5AD0" w:rsidRDefault="008F6F92" w:rsidP="008F6F92">
            <w:pPr>
              <w:spacing w:before="120"/>
              <w:rPr>
                <w:snapToGrid w:val="0"/>
              </w:rPr>
            </w:pPr>
          </w:p>
        </w:tc>
        <w:tc>
          <w:tcPr>
            <w:tcW w:w="943" w:type="dxa"/>
          </w:tcPr>
          <w:p w14:paraId="6714F640" w14:textId="446E6571" w:rsidR="008F6F92" w:rsidRPr="00ED5AD0" w:rsidRDefault="008F6F92" w:rsidP="008F6F92">
            <w:pPr>
              <w:spacing w:before="120"/>
              <w:rPr>
                <w:bCs/>
                <w:snapToGrid w:val="0"/>
              </w:rPr>
            </w:pPr>
          </w:p>
        </w:tc>
        <w:tc>
          <w:tcPr>
            <w:tcW w:w="1082" w:type="dxa"/>
          </w:tcPr>
          <w:p w14:paraId="2A37DC81" w14:textId="77777777" w:rsidR="008F6F92" w:rsidRPr="00ED5AD0" w:rsidRDefault="008F6F92" w:rsidP="008F6F92">
            <w:pPr>
              <w:spacing w:before="120"/>
              <w:rPr>
                <w:snapToGrid w:val="0"/>
              </w:rPr>
            </w:pPr>
          </w:p>
        </w:tc>
        <w:tc>
          <w:tcPr>
            <w:tcW w:w="1079" w:type="dxa"/>
            <w:shd w:val="clear" w:color="auto" w:fill="auto"/>
          </w:tcPr>
          <w:p w14:paraId="3C12FFE1" w14:textId="77777777" w:rsidR="008F6F92" w:rsidRPr="00ED5AD0" w:rsidRDefault="008F6F92" w:rsidP="008F6F92">
            <w:pPr>
              <w:spacing w:before="120"/>
              <w:rPr>
                <w:snapToGrid w:val="0"/>
              </w:rPr>
            </w:pPr>
          </w:p>
        </w:tc>
        <w:tc>
          <w:tcPr>
            <w:tcW w:w="1079" w:type="dxa"/>
            <w:shd w:val="clear" w:color="auto" w:fill="auto"/>
          </w:tcPr>
          <w:p w14:paraId="3FEF2B5D" w14:textId="77777777" w:rsidR="008F6F92" w:rsidRPr="00ED5AD0" w:rsidRDefault="008F6F92" w:rsidP="008F6F92">
            <w:pPr>
              <w:spacing w:before="120"/>
              <w:rPr>
                <w:snapToGrid w:val="0"/>
              </w:rPr>
            </w:pPr>
          </w:p>
        </w:tc>
        <w:tc>
          <w:tcPr>
            <w:tcW w:w="1079" w:type="dxa"/>
            <w:shd w:val="clear" w:color="auto" w:fill="auto"/>
          </w:tcPr>
          <w:p w14:paraId="555F5358" w14:textId="77777777" w:rsidR="008F6F92" w:rsidRPr="00ED5AD0" w:rsidRDefault="008F6F92" w:rsidP="008F6F92">
            <w:pPr>
              <w:spacing w:before="120"/>
              <w:rPr>
                <w:snapToGrid w:val="0"/>
              </w:rPr>
            </w:pPr>
          </w:p>
        </w:tc>
        <w:tc>
          <w:tcPr>
            <w:tcW w:w="1079" w:type="dxa"/>
            <w:shd w:val="clear" w:color="auto" w:fill="auto"/>
          </w:tcPr>
          <w:p w14:paraId="450D3887" w14:textId="77777777" w:rsidR="008F6F92" w:rsidRPr="00ED5AD0" w:rsidRDefault="008F6F92" w:rsidP="008F6F92">
            <w:pPr>
              <w:spacing w:before="120"/>
              <w:rPr>
                <w:snapToGrid w:val="0"/>
              </w:rPr>
            </w:pPr>
          </w:p>
        </w:tc>
        <w:tc>
          <w:tcPr>
            <w:tcW w:w="1030" w:type="dxa"/>
            <w:shd w:val="clear" w:color="auto" w:fill="auto"/>
          </w:tcPr>
          <w:p w14:paraId="273E598D" w14:textId="77777777" w:rsidR="008F6F92" w:rsidRPr="00ED5AD0" w:rsidRDefault="008F6F92" w:rsidP="008F6F92">
            <w:pPr>
              <w:spacing w:before="120"/>
              <w:rPr>
                <w:snapToGrid w:val="0"/>
              </w:rPr>
            </w:pPr>
          </w:p>
        </w:tc>
      </w:tr>
      <w:tr w:rsidR="008F6F92" w:rsidRPr="00ED5AD0" w14:paraId="57E3A277" w14:textId="77777777" w:rsidTr="00F80F47">
        <w:tc>
          <w:tcPr>
            <w:tcW w:w="2066" w:type="dxa"/>
            <w:shd w:val="clear" w:color="auto" w:fill="auto"/>
          </w:tcPr>
          <w:p w14:paraId="3FE22C87" w14:textId="77777777" w:rsidR="008F6F92" w:rsidRPr="00ED5AD0" w:rsidRDefault="008F6F92" w:rsidP="008F6F92">
            <w:pPr>
              <w:spacing w:before="120"/>
              <w:rPr>
                <w:snapToGrid w:val="0"/>
                <w:sz w:val="20"/>
              </w:rPr>
            </w:pPr>
            <w:r w:rsidRPr="00ED5AD0">
              <w:rPr>
                <w:snapToGrid w:val="0"/>
                <w:sz w:val="20"/>
              </w:rPr>
              <w:t>Percentage of males and females in each of the four pay quartiles:</w:t>
            </w:r>
          </w:p>
        </w:tc>
        <w:tc>
          <w:tcPr>
            <w:tcW w:w="759" w:type="dxa"/>
          </w:tcPr>
          <w:p w14:paraId="033094F3" w14:textId="77777777" w:rsidR="008F6F92" w:rsidRPr="00ED5AD0" w:rsidRDefault="008F6F92" w:rsidP="008F6F92">
            <w:pPr>
              <w:spacing w:before="120"/>
              <w:rPr>
                <w:snapToGrid w:val="0"/>
              </w:rPr>
            </w:pPr>
          </w:p>
        </w:tc>
        <w:tc>
          <w:tcPr>
            <w:tcW w:w="943" w:type="dxa"/>
          </w:tcPr>
          <w:p w14:paraId="62D317B3" w14:textId="74768DF3" w:rsidR="008F6F92" w:rsidRPr="00ED5AD0" w:rsidRDefault="008F6F92" w:rsidP="008F6F92">
            <w:pPr>
              <w:spacing w:before="120"/>
              <w:rPr>
                <w:bCs/>
                <w:snapToGrid w:val="0"/>
              </w:rPr>
            </w:pPr>
          </w:p>
        </w:tc>
        <w:tc>
          <w:tcPr>
            <w:tcW w:w="1082" w:type="dxa"/>
          </w:tcPr>
          <w:p w14:paraId="57411401" w14:textId="77777777" w:rsidR="008F6F92" w:rsidRPr="00ED5AD0" w:rsidRDefault="008F6F92" w:rsidP="008F6F92">
            <w:pPr>
              <w:spacing w:before="120"/>
              <w:rPr>
                <w:snapToGrid w:val="0"/>
              </w:rPr>
            </w:pPr>
          </w:p>
        </w:tc>
        <w:tc>
          <w:tcPr>
            <w:tcW w:w="5346" w:type="dxa"/>
            <w:gridSpan w:val="5"/>
            <w:shd w:val="clear" w:color="auto" w:fill="auto"/>
          </w:tcPr>
          <w:p w14:paraId="76A94C5E" w14:textId="77777777" w:rsidR="008F6F92" w:rsidRPr="00ED5AD0" w:rsidRDefault="008F6F92" w:rsidP="008F6F92">
            <w:pPr>
              <w:spacing w:before="120"/>
              <w:rPr>
                <w:snapToGrid w:val="0"/>
              </w:rPr>
            </w:pPr>
          </w:p>
        </w:tc>
      </w:tr>
      <w:tr w:rsidR="008F6F92" w:rsidRPr="00ED5AD0" w14:paraId="5328FFA6" w14:textId="77777777" w:rsidTr="00F80F47">
        <w:tc>
          <w:tcPr>
            <w:tcW w:w="2066" w:type="dxa"/>
            <w:shd w:val="clear" w:color="auto" w:fill="auto"/>
          </w:tcPr>
          <w:p w14:paraId="52DC93DC" w14:textId="77777777" w:rsidR="008F6F92" w:rsidRPr="00ED5AD0" w:rsidRDefault="008F6F92" w:rsidP="008F6F92">
            <w:pPr>
              <w:spacing w:before="120"/>
              <w:rPr>
                <w:snapToGrid w:val="0"/>
              </w:rPr>
            </w:pPr>
            <w:r w:rsidRPr="00ED5AD0">
              <w:rPr>
                <w:snapToGrid w:val="0"/>
              </w:rPr>
              <w:t xml:space="preserve">Upper quartile:       </w:t>
            </w:r>
          </w:p>
          <w:p w14:paraId="73213696" w14:textId="77777777" w:rsidR="008F6F92" w:rsidRPr="00ED5AD0" w:rsidRDefault="008F6F92" w:rsidP="008F6F92">
            <w:pPr>
              <w:spacing w:before="120"/>
              <w:rPr>
                <w:snapToGrid w:val="0"/>
              </w:rPr>
            </w:pPr>
            <w:r w:rsidRPr="00ED5AD0">
              <w:rPr>
                <w:snapToGrid w:val="0"/>
              </w:rPr>
              <w:t>men                    women</w:t>
            </w:r>
          </w:p>
        </w:tc>
        <w:tc>
          <w:tcPr>
            <w:tcW w:w="759" w:type="dxa"/>
          </w:tcPr>
          <w:p w14:paraId="71397CFE" w14:textId="77777777" w:rsidR="008F6F92" w:rsidRPr="00ED5AD0" w:rsidRDefault="008F6F92" w:rsidP="008F6F92">
            <w:pPr>
              <w:spacing w:before="120"/>
              <w:rPr>
                <w:b/>
                <w:snapToGrid w:val="0"/>
              </w:rPr>
            </w:pPr>
          </w:p>
          <w:p w14:paraId="457D0B2B" w14:textId="77777777" w:rsidR="008F6F92" w:rsidRPr="00ED5AD0" w:rsidRDefault="008F6F92" w:rsidP="008F6F92">
            <w:pPr>
              <w:spacing w:before="120"/>
              <w:rPr>
                <w:b/>
                <w:snapToGrid w:val="0"/>
              </w:rPr>
            </w:pPr>
            <w:r w:rsidRPr="00ED5AD0">
              <w:rPr>
                <w:b/>
                <w:snapToGrid w:val="0"/>
              </w:rPr>
              <w:t>51.5%</w:t>
            </w:r>
          </w:p>
          <w:p w14:paraId="0E225889" w14:textId="692243DD" w:rsidR="008F6F92" w:rsidRPr="00ED5AD0" w:rsidRDefault="008F6F92" w:rsidP="008F6F92">
            <w:pPr>
              <w:spacing w:before="120"/>
              <w:rPr>
                <w:b/>
                <w:snapToGrid w:val="0"/>
              </w:rPr>
            </w:pPr>
            <w:r w:rsidRPr="00ED5AD0">
              <w:rPr>
                <w:b/>
                <w:snapToGrid w:val="0"/>
              </w:rPr>
              <w:t>48.5%</w:t>
            </w:r>
          </w:p>
        </w:tc>
        <w:tc>
          <w:tcPr>
            <w:tcW w:w="943" w:type="dxa"/>
          </w:tcPr>
          <w:p w14:paraId="5C380643" w14:textId="79CED084" w:rsidR="008F6F92" w:rsidRPr="00ED5AD0" w:rsidRDefault="008F6F92" w:rsidP="008F6F92">
            <w:pPr>
              <w:spacing w:before="120"/>
              <w:rPr>
                <w:bCs/>
                <w:snapToGrid w:val="0"/>
              </w:rPr>
            </w:pPr>
          </w:p>
          <w:p w14:paraId="6C551639" w14:textId="77777777" w:rsidR="008F6F92" w:rsidRPr="00ED5AD0" w:rsidRDefault="008F6F92" w:rsidP="008F6F92">
            <w:pPr>
              <w:spacing w:before="120"/>
              <w:rPr>
                <w:bCs/>
                <w:snapToGrid w:val="0"/>
              </w:rPr>
            </w:pPr>
            <w:r w:rsidRPr="00ED5AD0">
              <w:rPr>
                <w:bCs/>
                <w:snapToGrid w:val="0"/>
              </w:rPr>
              <w:t>50.0%</w:t>
            </w:r>
          </w:p>
          <w:p w14:paraId="17427967" w14:textId="77777777" w:rsidR="008F6F92" w:rsidRPr="00ED5AD0" w:rsidRDefault="008F6F92" w:rsidP="008F6F92">
            <w:pPr>
              <w:spacing w:before="120"/>
              <w:rPr>
                <w:bCs/>
                <w:snapToGrid w:val="0"/>
              </w:rPr>
            </w:pPr>
            <w:r w:rsidRPr="00ED5AD0">
              <w:rPr>
                <w:bCs/>
                <w:snapToGrid w:val="0"/>
              </w:rPr>
              <w:t>50.0%</w:t>
            </w:r>
          </w:p>
        </w:tc>
        <w:tc>
          <w:tcPr>
            <w:tcW w:w="1082" w:type="dxa"/>
          </w:tcPr>
          <w:p w14:paraId="6C381F16" w14:textId="77777777" w:rsidR="008F6F92" w:rsidRPr="00ED5AD0" w:rsidRDefault="008F6F92" w:rsidP="008F6F92">
            <w:pPr>
              <w:spacing w:before="120"/>
              <w:rPr>
                <w:snapToGrid w:val="0"/>
              </w:rPr>
            </w:pPr>
          </w:p>
          <w:p w14:paraId="400D7173" w14:textId="77777777" w:rsidR="008F6F92" w:rsidRPr="00ED5AD0" w:rsidRDefault="008F6F92" w:rsidP="008F6F92">
            <w:pPr>
              <w:spacing w:before="120"/>
              <w:rPr>
                <w:snapToGrid w:val="0"/>
              </w:rPr>
            </w:pPr>
            <w:r w:rsidRPr="00ED5AD0">
              <w:rPr>
                <w:snapToGrid w:val="0"/>
              </w:rPr>
              <w:t xml:space="preserve">49.62%  </w:t>
            </w:r>
          </w:p>
          <w:p w14:paraId="5EC61654" w14:textId="77777777" w:rsidR="008F6F92" w:rsidRPr="00ED5AD0" w:rsidRDefault="008F6F92" w:rsidP="008F6F92">
            <w:pPr>
              <w:spacing w:before="120"/>
              <w:rPr>
                <w:snapToGrid w:val="0"/>
              </w:rPr>
            </w:pPr>
            <w:r w:rsidRPr="00ED5AD0">
              <w:rPr>
                <w:snapToGrid w:val="0"/>
              </w:rPr>
              <w:t>50.38%</w:t>
            </w:r>
          </w:p>
        </w:tc>
        <w:tc>
          <w:tcPr>
            <w:tcW w:w="1079" w:type="dxa"/>
            <w:shd w:val="clear" w:color="auto" w:fill="auto"/>
          </w:tcPr>
          <w:p w14:paraId="70536E47" w14:textId="77777777" w:rsidR="008F6F92" w:rsidRPr="00ED5AD0" w:rsidRDefault="008F6F92" w:rsidP="008F6F92">
            <w:pPr>
              <w:spacing w:before="120"/>
              <w:rPr>
                <w:snapToGrid w:val="0"/>
              </w:rPr>
            </w:pPr>
          </w:p>
          <w:p w14:paraId="4BBA8ADC" w14:textId="77777777" w:rsidR="008F6F92" w:rsidRPr="00ED5AD0" w:rsidRDefault="008F6F92" w:rsidP="008F6F92">
            <w:pPr>
              <w:spacing w:before="120"/>
              <w:rPr>
                <w:snapToGrid w:val="0"/>
              </w:rPr>
            </w:pPr>
            <w:r w:rsidRPr="00ED5AD0">
              <w:rPr>
                <w:snapToGrid w:val="0"/>
              </w:rPr>
              <w:t>50.69%</w:t>
            </w:r>
          </w:p>
          <w:p w14:paraId="4E6DF782" w14:textId="77777777" w:rsidR="008F6F92" w:rsidRPr="00ED5AD0" w:rsidRDefault="008F6F92" w:rsidP="008F6F92">
            <w:pPr>
              <w:spacing w:before="120"/>
              <w:rPr>
                <w:snapToGrid w:val="0"/>
              </w:rPr>
            </w:pPr>
            <w:r w:rsidRPr="00ED5AD0">
              <w:rPr>
                <w:snapToGrid w:val="0"/>
              </w:rPr>
              <w:t>49.31%</w:t>
            </w:r>
          </w:p>
        </w:tc>
        <w:tc>
          <w:tcPr>
            <w:tcW w:w="1079" w:type="dxa"/>
            <w:shd w:val="clear" w:color="auto" w:fill="auto"/>
          </w:tcPr>
          <w:p w14:paraId="6BBD0B0B" w14:textId="77777777" w:rsidR="008F6F92" w:rsidRPr="00ED5AD0" w:rsidRDefault="008F6F92" w:rsidP="008F6F92">
            <w:pPr>
              <w:spacing w:before="120"/>
              <w:rPr>
                <w:snapToGrid w:val="0"/>
              </w:rPr>
            </w:pPr>
          </w:p>
          <w:p w14:paraId="4E5D9683" w14:textId="77777777" w:rsidR="008F6F92" w:rsidRPr="00ED5AD0" w:rsidRDefault="008F6F92" w:rsidP="008F6F92">
            <w:pPr>
              <w:spacing w:before="120"/>
              <w:rPr>
                <w:snapToGrid w:val="0"/>
              </w:rPr>
            </w:pPr>
            <w:r w:rsidRPr="00ED5AD0">
              <w:rPr>
                <w:snapToGrid w:val="0"/>
              </w:rPr>
              <w:t>49.66%</w:t>
            </w:r>
          </w:p>
          <w:p w14:paraId="7764009E" w14:textId="77777777" w:rsidR="008F6F92" w:rsidRPr="00ED5AD0" w:rsidRDefault="008F6F92" w:rsidP="008F6F92">
            <w:pPr>
              <w:spacing w:before="120"/>
              <w:rPr>
                <w:snapToGrid w:val="0"/>
              </w:rPr>
            </w:pPr>
            <w:r w:rsidRPr="00ED5AD0">
              <w:rPr>
                <w:snapToGrid w:val="0"/>
              </w:rPr>
              <w:t>50.34%</w:t>
            </w:r>
          </w:p>
        </w:tc>
        <w:tc>
          <w:tcPr>
            <w:tcW w:w="1079" w:type="dxa"/>
            <w:shd w:val="clear" w:color="auto" w:fill="auto"/>
          </w:tcPr>
          <w:p w14:paraId="5278B637" w14:textId="77777777" w:rsidR="008F6F92" w:rsidRPr="00ED5AD0" w:rsidRDefault="008F6F92" w:rsidP="008F6F92">
            <w:pPr>
              <w:spacing w:before="120"/>
              <w:rPr>
                <w:snapToGrid w:val="0"/>
              </w:rPr>
            </w:pPr>
          </w:p>
          <w:p w14:paraId="7BF34FE4" w14:textId="77777777" w:rsidR="008F6F92" w:rsidRPr="00ED5AD0" w:rsidRDefault="008F6F92" w:rsidP="008F6F92">
            <w:pPr>
              <w:spacing w:before="120"/>
              <w:rPr>
                <w:snapToGrid w:val="0"/>
              </w:rPr>
            </w:pPr>
            <w:r w:rsidRPr="00ED5AD0">
              <w:rPr>
                <w:snapToGrid w:val="0"/>
              </w:rPr>
              <w:t>49.66%</w:t>
            </w:r>
          </w:p>
          <w:p w14:paraId="404CDDF5" w14:textId="77777777" w:rsidR="008F6F92" w:rsidRPr="00ED5AD0" w:rsidRDefault="008F6F92" w:rsidP="008F6F92">
            <w:pPr>
              <w:spacing w:before="120"/>
              <w:rPr>
                <w:snapToGrid w:val="0"/>
              </w:rPr>
            </w:pPr>
            <w:r w:rsidRPr="00ED5AD0">
              <w:rPr>
                <w:snapToGrid w:val="0"/>
              </w:rPr>
              <w:t>50.34%</w:t>
            </w:r>
          </w:p>
        </w:tc>
        <w:tc>
          <w:tcPr>
            <w:tcW w:w="1079" w:type="dxa"/>
            <w:shd w:val="clear" w:color="auto" w:fill="auto"/>
          </w:tcPr>
          <w:p w14:paraId="5FEBCADB" w14:textId="77777777" w:rsidR="008F6F92" w:rsidRPr="00ED5AD0" w:rsidRDefault="008F6F92" w:rsidP="008F6F92">
            <w:pPr>
              <w:spacing w:before="120"/>
              <w:rPr>
                <w:snapToGrid w:val="0"/>
              </w:rPr>
            </w:pPr>
          </w:p>
          <w:p w14:paraId="73D21F01" w14:textId="77777777" w:rsidR="008F6F92" w:rsidRPr="00ED5AD0" w:rsidRDefault="008F6F92" w:rsidP="008F6F92">
            <w:pPr>
              <w:spacing w:before="120"/>
              <w:rPr>
                <w:snapToGrid w:val="0"/>
              </w:rPr>
            </w:pPr>
            <w:r w:rsidRPr="00ED5AD0">
              <w:rPr>
                <w:snapToGrid w:val="0"/>
              </w:rPr>
              <w:t>49.34%</w:t>
            </w:r>
          </w:p>
          <w:p w14:paraId="5EFC5555" w14:textId="77777777" w:rsidR="008F6F92" w:rsidRPr="00ED5AD0" w:rsidRDefault="008F6F92" w:rsidP="008F6F92">
            <w:pPr>
              <w:spacing w:before="120"/>
              <w:rPr>
                <w:snapToGrid w:val="0"/>
              </w:rPr>
            </w:pPr>
            <w:r w:rsidRPr="00ED5AD0">
              <w:rPr>
                <w:snapToGrid w:val="0"/>
              </w:rPr>
              <w:t>50.66%</w:t>
            </w:r>
          </w:p>
        </w:tc>
        <w:tc>
          <w:tcPr>
            <w:tcW w:w="1030" w:type="dxa"/>
            <w:shd w:val="clear" w:color="auto" w:fill="auto"/>
          </w:tcPr>
          <w:p w14:paraId="11629458" w14:textId="77777777" w:rsidR="008F6F92" w:rsidRPr="00ED5AD0" w:rsidRDefault="008F6F92" w:rsidP="008F6F92">
            <w:pPr>
              <w:spacing w:before="120"/>
              <w:rPr>
                <w:snapToGrid w:val="0"/>
              </w:rPr>
            </w:pPr>
          </w:p>
          <w:p w14:paraId="0DE1AE1E" w14:textId="77777777" w:rsidR="008F6F92" w:rsidRPr="00ED5AD0" w:rsidRDefault="008F6F92" w:rsidP="008F6F92">
            <w:pPr>
              <w:spacing w:before="120"/>
              <w:rPr>
                <w:snapToGrid w:val="0"/>
              </w:rPr>
            </w:pPr>
            <w:r w:rsidRPr="00ED5AD0">
              <w:rPr>
                <w:snapToGrid w:val="0"/>
              </w:rPr>
              <w:t>47.68%</w:t>
            </w:r>
          </w:p>
          <w:p w14:paraId="25E16694" w14:textId="77777777" w:rsidR="008F6F92" w:rsidRPr="00ED5AD0" w:rsidRDefault="008F6F92" w:rsidP="008F6F92">
            <w:pPr>
              <w:spacing w:before="120"/>
              <w:rPr>
                <w:snapToGrid w:val="0"/>
              </w:rPr>
            </w:pPr>
            <w:r w:rsidRPr="00ED5AD0">
              <w:rPr>
                <w:snapToGrid w:val="0"/>
              </w:rPr>
              <w:t>52.32%</w:t>
            </w:r>
          </w:p>
        </w:tc>
      </w:tr>
      <w:tr w:rsidR="008F6F92" w:rsidRPr="00ED5AD0" w14:paraId="3ADE7B7A" w14:textId="77777777" w:rsidTr="00F80F47">
        <w:tc>
          <w:tcPr>
            <w:tcW w:w="2066" w:type="dxa"/>
            <w:shd w:val="clear" w:color="auto" w:fill="auto"/>
          </w:tcPr>
          <w:p w14:paraId="66E472DF" w14:textId="77777777" w:rsidR="008F6F92" w:rsidRPr="00ED5AD0" w:rsidRDefault="008F6F92" w:rsidP="008F6F92">
            <w:pPr>
              <w:spacing w:before="120"/>
              <w:rPr>
                <w:snapToGrid w:val="0"/>
              </w:rPr>
            </w:pPr>
            <w:r w:rsidRPr="00ED5AD0">
              <w:rPr>
                <w:snapToGrid w:val="0"/>
              </w:rPr>
              <w:t xml:space="preserve">Upper mid-quartile: </w:t>
            </w:r>
          </w:p>
          <w:p w14:paraId="6517C09B" w14:textId="77777777" w:rsidR="008F6F92" w:rsidRPr="00ED5AD0" w:rsidRDefault="008F6F92" w:rsidP="008F6F92">
            <w:pPr>
              <w:spacing w:before="120"/>
              <w:rPr>
                <w:snapToGrid w:val="0"/>
              </w:rPr>
            </w:pPr>
            <w:r w:rsidRPr="00ED5AD0">
              <w:rPr>
                <w:snapToGrid w:val="0"/>
              </w:rPr>
              <w:t>men                       women</w:t>
            </w:r>
          </w:p>
        </w:tc>
        <w:tc>
          <w:tcPr>
            <w:tcW w:w="759" w:type="dxa"/>
          </w:tcPr>
          <w:p w14:paraId="62926DEB" w14:textId="77777777" w:rsidR="008F6F92" w:rsidRPr="00ED5AD0" w:rsidRDefault="008F6F92" w:rsidP="008F6F92">
            <w:pPr>
              <w:spacing w:before="120"/>
              <w:rPr>
                <w:b/>
                <w:snapToGrid w:val="0"/>
              </w:rPr>
            </w:pPr>
          </w:p>
          <w:p w14:paraId="268FBB25" w14:textId="77777777" w:rsidR="008F6F92" w:rsidRPr="00ED5AD0" w:rsidRDefault="008F6F92" w:rsidP="008F6F92">
            <w:pPr>
              <w:spacing w:before="120"/>
              <w:rPr>
                <w:b/>
                <w:snapToGrid w:val="0"/>
              </w:rPr>
            </w:pPr>
            <w:r w:rsidRPr="00ED5AD0">
              <w:rPr>
                <w:b/>
                <w:snapToGrid w:val="0"/>
              </w:rPr>
              <w:t>47.5%</w:t>
            </w:r>
          </w:p>
          <w:p w14:paraId="028EB5E8" w14:textId="730B4E0F" w:rsidR="008F6F92" w:rsidRPr="00ED5AD0" w:rsidRDefault="008F6F92" w:rsidP="008F6F92">
            <w:pPr>
              <w:spacing w:before="120"/>
              <w:rPr>
                <w:b/>
                <w:snapToGrid w:val="0"/>
              </w:rPr>
            </w:pPr>
            <w:r w:rsidRPr="00ED5AD0">
              <w:rPr>
                <w:b/>
                <w:snapToGrid w:val="0"/>
              </w:rPr>
              <w:t>52.5%</w:t>
            </w:r>
          </w:p>
        </w:tc>
        <w:tc>
          <w:tcPr>
            <w:tcW w:w="943" w:type="dxa"/>
          </w:tcPr>
          <w:p w14:paraId="5B44F437" w14:textId="56AB3EA2" w:rsidR="008F6F92" w:rsidRPr="00ED5AD0" w:rsidRDefault="008F6F92" w:rsidP="008F6F92">
            <w:pPr>
              <w:spacing w:before="120"/>
              <w:rPr>
                <w:bCs/>
                <w:snapToGrid w:val="0"/>
              </w:rPr>
            </w:pPr>
          </w:p>
          <w:p w14:paraId="7F59D01F" w14:textId="77777777" w:rsidR="008F6F92" w:rsidRPr="00ED5AD0" w:rsidRDefault="008F6F92" w:rsidP="008F6F92">
            <w:pPr>
              <w:spacing w:before="120"/>
              <w:rPr>
                <w:bCs/>
                <w:snapToGrid w:val="0"/>
              </w:rPr>
            </w:pPr>
            <w:r w:rsidRPr="00ED5AD0">
              <w:rPr>
                <w:bCs/>
                <w:snapToGrid w:val="0"/>
              </w:rPr>
              <w:t>53.0%</w:t>
            </w:r>
          </w:p>
          <w:p w14:paraId="339235EA" w14:textId="77777777" w:rsidR="008F6F92" w:rsidRPr="00ED5AD0" w:rsidRDefault="008F6F92" w:rsidP="008F6F92">
            <w:pPr>
              <w:spacing w:before="120"/>
              <w:rPr>
                <w:bCs/>
                <w:snapToGrid w:val="0"/>
              </w:rPr>
            </w:pPr>
            <w:r w:rsidRPr="00ED5AD0">
              <w:rPr>
                <w:bCs/>
                <w:snapToGrid w:val="0"/>
              </w:rPr>
              <w:t>47.0%</w:t>
            </w:r>
          </w:p>
        </w:tc>
        <w:tc>
          <w:tcPr>
            <w:tcW w:w="1082" w:type="dxa"/>
          </w:tcPr>
          <w:p w14:paraId="0B2B2734" w14:textId="77777777" w:rsidR="008F6F92" w:rsidRPr="00ED5AD0" w:rsidRDefault="008F6F92" w:rsidP="008F6F92">
            <w:pPr>
              <w:spacing w:before="120"/>
              <w:rPr>
                <w:snapToGrid w:val="0"/>
              </w:rPr>
            </w:pPr>
          </w:p>
          <w:p w14:paraId="408F17D7" w14:textId="77777777" w:rsidR="002E38B8" w:rsidRPr="00ED5AD0" w:rsidRDefault="008F6F92" w:rsidP="008F6F92">
            <w:pPr>
              <w:spacing w:before="120"/>
              <w:rPr>
                <w:snapToGrid w:val="0"/>
              </w:rPr>
            </w:pPr>
            <w:r w:rsidRPr="00ED5AD0">
              <w:rPr>
                <w:snapToGrid w:val="0"/>
              </w:rPr>
              <w:t>44.62%</w:t>
            </w:r>
          </w:p>
          <w:p w14:paraId="118BBD86" w14:textId="4C9274E3" w:rsidR="008F6F92" w:rsidRPr="00ED5AD0" w:rsidRDefault="008F6F92" w:rsidP="008F6F92">
            <w:pPr>
              <w:spacing w:before="120"/>
              <w:rPr>
                <w:snapToGrid w:val="0"/>
              </w:rPr>
            </w:pPr>
            <w:r w:rsidRPr="00ED5AD0">
              <w:rPr>
                <w:snapToGrid w:val="0"/>
              </w:rPr>
              <w:t>55.38%</w:t>
            </w:r>
          </w:p>
        </w:tc>
        <w:tc>
          <w:tcPr>
            <w:tcW w:w="1079" w:type="dxa"/>
            <w:shd w:val="clear" w:color="auto" w:fill="auto"/>
          </w:tcPr>
          <w:p w14:paraId="38F28A08" w14:textId="77777777" w:rsidR="008F6F92" w:rsidRPr="00ED5AD0" w:rsidRDefault="008F6F92" w:rsidP="008F6F92">
            <w:pPr>
              <w:spacing w:before="120"/>
              <w:rPr>
                <w:snapToGrid w:val="0"/>
              </w:rPr>
            </w:pPr>
          </w:p>
          <w:p w14:paraId="4BA63244" w14:textId="77777777" w:rsidR="008F6F92" w:rsidRPr="00ED5AD0" w:rsidRDefault="008F6F92" w:rsidP="008F6F92">
            <w:pPr>
              <w:spacing w:before="120"/>
              <w:rPr>
                <w:snapToGrid w:val="0"/>
              </w:rPr>
            </w:pPr>
            <w:r w:rsidRPr="00ED5AD0">
              <w:rPr>
                <w:snapToGrid w:val="0"/>
              </w:rPr>
              <w:t>46.53%</w:t>
            </w:r>
          </w:p>
          <w:p w14:paraId="41E340FB" w14:textId="77777777" w:rsidR="008F6F92" w:rsidRPr="00ED5AD0" w:rsidRDefault="008F6F92" w:rsidP="008F6F92">
            <w:pPr>
              <w:spacing w:before="120"/>
              <w:rPr>
                <w:snapToGrid w:val="0"/>
              </w:rPr>
            </w:pPr>
            <w:r w:rsidRPr="00ED5AD0">
              <w:rPr>
                <w:snapToGrid w:val="0"/>
              </w:rPr>
              <w:t>53.47%</w:t>
            </w:r>
          </w:p>
        </w:tc>
        <w:tc>
          <w:tcPr>
            <w:tcW w:w="1079" w:type="dxa"/>
            <w:shd w:val="clear" w:color="auto" w:fill="auto"/>
          </w:tcPr>
          <w:p w14:paraId="4640B4B3" w14:textId="77777777" w:rsidR="008F6F92" w:rsidRPr="00ED5AD0" w:rsidRDefault="008F6F92" w:rsidP="008F6F92">
            <w:pPr>
              <w:spacing w:before="120"/>
              <w:rPr>
                <w:snapToGrid w:val="0"/>
              </w:rPr>
            </w:pPr>
          </w:p>
          <w:p w14:paraId="3B6116DC" w14:textId="77777777" w:rsidR="008F6F92" w:rsidRPr="00ED5AD0" w:rsidRDefault="008F6F92" w:rsidP="008F6F92">
            <w:pPr>
              <w:spacing w:before="120"/>
              <w:rPr>
                <w:snapToGrid w:val="0"/>
              </w:rPr>
            </w:pPr>
            <w:r w:rsidRPr="00ED5AD0">
              <w:rPr>
                <w:snapToGrid w:val="0"/>
              </w:rPr>
              <w:t>44.83%</w:t>
            </w:r>
          </w:p>
          <w:p w14:paraId="16B6DBFA" w14:textId="77777777" w:rsidR="008F6F92" w:rsidRPr="00ED5AD0" w:rsidRDefault="008F6F92" w:rsidP="008F6F92">
            <w:pPr>
              <w:spacing w:before="120"/>
              <w:rPr>
                <w:snapToGrid w:val="0"/>
              </w:rPr>
            </w:pPr>
            <w:r w:rsidRPr="00ED5AD0">
              <w:rPr>
                <w:snapToGrid w:val="0"/>
              </w:rPr>
              <w:t>55.17%</w:t>
            </w:r>
          </w:p>
        </w:tc>
        <w:tc>
          <w:tcPr>
            <w:tcW w:w="1079" w:type="dxa"/>
            <w:shd w:val="clear" w:color="auto" w:fill="auto"/>
          </w:tcPr>
          <w:p w14:paraId="0021C870" w14:textId="77777777" w:rsidR="008F6F92" w:rsidRPr="00ED5AD0" w:rsidRDefault="008F6F92" w:rsidP="008F6F92">
            <w:pPr>
              <w:spacing w:before="120"/>
              <w:rPr>
                <w:snapToGrid w:val="0"/>
              </w:rPr>
            </w:pPr>
          </w:p>
          <w:p w14:paraId="2B131029" w14:textId="77777777" w:rsidR="008F6F92" w:rsidRPr="00ED5AD0" w:rsidRDefault="008F6F92" w:rsidP="008F6F92">
            <w:pPr>
              <w:spacing w:before="120"/>
              <w:rPr>
                <w:snapToGrid w:val="0"/>
              </w:rPr>
            </w:pPr>
            <w:r w:rsidRPr="00ED5AD0">
              <w:rPr>
                <w:snapToGrid w:val="0"/>
              </w:rPr>
              <w:t>47.30%</w:t>
            </w:r>
          </w:p>
          <w:p w14:paraId="155FB377" w14:textId="77777777" w:rsidR="008F6F92" w:rsidRPr="00ED5AD0" w:rsidRDefault="008F6F92" w:rsidP="008F6F92">
            <w:pPr>
              <w:spacing w:before="120"/>
              <w:rPr>
                <w:snapToGrid w:val="0"/>
              </w:rPr>
            </w:pPr>
            <w:r w:rsidRPr="00ED5AD0">
              <w:rPr>
                <w:snapToGrid w:val="0"/>
              </w:rPr>
              <w:t>52.70%</w:t>
            </w:r>
          </w:p>
        </w:tc>
        <w:tc>
          <w:tcPr>
            <w:tcW w:w="1079" w:type="dxa"/>
            <w:shd w:val="clear" w:color="auto" w:fill="auto"/>
          </w:tcPr>
          <w:p w14:paraId="1374916F" w14:textId="77777777" w:rsidR="008F6F92" w:rsidRPr="00ED5AD0" w:rsidRDefault="008F6F92" w:rsidP="008F6F92">
            <w:pPr>
              <w:spacing w:before="120"/>
              <w:rPr>
                <w:snapToGrid w:val="0"/>
              </w:rPr>
            </w:pPr>
          </w:p>
          <w:p w14:paraId="79FC0173" w14:textId="77777777" w:rsidR="008F6F92" w:rsidRPr="00ED5AD0" w:rsidRDefault="008F6F92" w:rsidP="008F6F92">
            <w:pPr>
              <w:spacing w:before="120"/>
              <w:rPr>
                <w:snapToGrid w:val="0"/>
              </w:rPr>
            </w:pPr>
            <w:r w:rsidRPr="00ED5AD0">
              <w:rPr>
                <w:snapToGrid w:val="0"/>
              </w:rPr>
              <w:t>48.68%</w:t>
            </w:r>
          </w:p>
          <w:p w14:paraId="53D08679" w14:textId="77777777" w:rsidR="008F6F92" w:rsidRPr="00ED5AD0" w:rsidRDefault="008F6F92" w:rsidP="008F6F92">
            <w:pPr>
              <w:spacing w:before="120"/>
              <w:rPr>
                <w:snapToGrid w:val="0"/>
              </w:rPr>
            </w:pPr>
            <w:r w:rsidRPr="00ED5AD0">
              <w:rPr>
                <w:snapToGrid w:val="0"/>
              </w:rPr>
              <w:t>51.32%</w:t>
            </w:r>
          </w:p>
        </w:tc>
        <w:tc>
          <w:tcPr>
            <w:tcW w:w="1030" w:type="dxa"/>
            <w:shd w:val="clear" w:color="auto" w:fill="auto"/>
          </w:tcPr>
          <w:p w14:paraId="01C3A6CE" w14:textId="77777777" w:rsidR="008F6F92" w:rsidRPr="00ED5AD0" w:rsidRDefault="008F6F92" w:rsidP="008F6F92">
            <w:pPr>
              <w:spacing w:before="120"/>
              <w:rPr>
                <w:snapToGrid w:val="0"/>
              </w:rPr>
            </w:pPr>
          </w:p>
          <w:p w14:paraId="49E2CDF4" w14:textId="77777777" w:rsidR="008F6F92" w:rsidRPr="00ED5AD0" w:rsidRDefault="008F6F92" w:rsidP="008F6F92">
            <w:pPr>
              <w:spacing w:before="120"/>
              <w:rPr>
                <w:snapToGrid w:val="0"/>
              </w:rPr>
            </w:pPr>
            <w:r w:rsidRPr="00ED5AD0">
              <w:rPr>
                <w:snapToGrid w:val="0"/>
              </w:rPr>
              <w:t>54.90%</w:t>
            </w:r>
          </w:p>
          <w:p w14:paraId="1D03EE6D" w14:textId="77777777" w:rsidR="008F6F92" w:rsidRPr="00ED5AD0" w:rsidRDefault="008F6F92" w:rsidP="008F6F92">
            <w:pPr>
              <w:spacing w:before="120"/>
              <w:rPr>
                <w:snapToGrid w:val="0"/>
              </w:rPr>
            </w:pPr>
            <w:r w:rsidRPr="00ED5AD0">
              <w:rPr>
                <w:snapToGrid w:val="0"/>
              </w:rPr>
              <w:t>45.10%</w:t>
            </w:r>
          </w:p>
        </w:tc>
      </w:tr>
      <w:tr w:rsidR="008F6F92" w:rsidRPr="00ED5AD0" w14:paraId="36AEDB0D" w14:textId="77777777" w:rsidTr="00F80F47">
        <w:tc>
          <w:tcPr>
            <w:tcW w:w="2066" w:type="dxa"/>
            <w:shd w:val="clear" w:color="auto" w:fill="auto"/>
          </w:tcPr>
          <w:p w14:paraId="0433D3C9" w14:textId="77777777" w:rsidR="008F6F92" w:rsidRPr="00ED5AD0" w:rsidRDefault="008F6F92" w:rsidP="008F6F92">
            <w:pPr>
              <w:spacing w:before="120"/>
              <w:rPr>
                <w:snapToGrid w:val="0"/>
              </w:rPr>
            </w:pPr>
            <w:r w:rsidRPr="00ED5AD0">
              <w:rPr>
                <w:snapToGrid w:val="0"/>
              </w:rPr>
              <w:t xml:space="preserve">Lower mid-quartile: </w:t>
            </w:r>
          </w:p>
          <w:p w14:paraId="53507F0A" w14:textId="77777777" w:rsidR="008F6F92" w:rsidRPr="00ED5AD0" w:rsidRDefault="008F6F92" w:rsidP="008F6F92">
            <w:pPr>
              <w:spacing w:before="120"/>
              <w:rPr>
                <w:snapToGrid w:val="0"/>
              </w:rPr>
            </w:pPr>
            <w:r w:rsidRPr="00ED5AD0">
              <w:rPr>
                <w:snapToGrid w:val="0"/>
              </w:rPr>
              <w:t>men                  women</w:t>
            </w:r>
          </w:p>
        </w:tc>
        <w:tc>
          <w:tcPr>
            <w:tcW w:w="759" w:type="dxa"/>
          </w:tcPr>
          <w:p w14:paraId="13BE8A91" w14:textId="77777777" w:rsidR="008F6F92" w:rsidRPr="00ED5AD0" w:rsidRDefault="008F6F92" w:rsidP="008F6F92">
            <w:pPr>
              <w:spacing w:before="120"/>
              <w:rPr>
                <w:b/>
                <w:snapToGrid w:val="0"/>
              </w:rPr>
            </w:pPr>
          </w:p>
          <w:p w14:paraId="0FD68C8F" w14:textId="77777777" w:rsidR="008F6F92" w:rsidRPr="00ED5AD0" w:rsidRDefault="008F6F92" w:rsidP="008F6F92">
            <w:pPr>
              <w:spacing w:before="120"/>
              <w:rPr>
                <w:b/>
                <w:snapToGrid w:val="0"/>
              </w:rPr>
            </w:pPr>
            <w:r w:rsidRPr="00ED5AD0">
              <w:rPr>
                <w:b/>
                <w:snapToGrid w:val="0"/>
              </w:rPr>
              <w:t>50.7%</w:t>
            </w:r>
          </w:p>
          <w:p w14:paraId="6DCB12A7" w14:textId="34DB000C" w:rsidR="008F6F92" w:rsidRPr="00ED5AD0" w:rsidRDefault="008F6F92" w:rsidP="008F6F92">
            <w:pPr>
              <w:spacing w:before="120"/>
              <w:rPr>
                <w:b/>
                <w:snapToGrid w:val="0"/>
              </w:rPr>
            </w:pPr>
            <w:r w:rsidRPr="00ED5AD0">
              <w:rPr>
                <w:b/>
                <w:snapToGrid w:val="0"/>
              </w:rPr>
              <w:t>49.3%</w:t>
            </w:r>
          </w:p>
        </w:tc>
        <w:tc>
          <w:tcPr>
            <w:tcW w:w="943" w:type="dxa"/>
          </w:tcPr>
          <w:p w14:paraId="5226853D" w14:textId="37E52BB8" w:rsidR="008F6F92" w:rsidRPr="00ED5AD0" w:rsidRDefault="008F6F92" w:rsidP="008F6F92">
            <w:pPr>
              <w:spacing w:before="120"/>
              <w:rPr>
                <w:bCs/>
                <w:snapToGrid w:val="0"/>
              </w:rPr>
            </w:pPr>
          </w:p>
          <w:p w14:paraId="2AD25080" w14:textId="77777777" w:rsidR="008F6F92" w:rsidRPr="00ED5AD0" w:rsidRDefault="008F6F92" w:rsidP="008F6F92">
            <w:pPr>
              <w:spacing w:before="120"/>
              <w:rPr>
                <w:bCs/>
                <w:snapToGrid w:val="0"/>
              </w:rPr>
            </w:pPr>
            <w:r w:rsidRPr="00ED5AD0">
              <w:rPr>
                <w:bCs/>
                <w:snapToGrid w:val="0"/>
              </w:rPr>
              <w:t>41.4%</w:t>
            </w:r>
          </w:p>
          <w:p w14:paraId="61670215" w14:textId="77777777" w:rsidR="008F6F92" w:rsidRPr="00ED5AD0" w:rsidRDefault="008F6F92" w:rsidP="008F6F92">
            <w:pPr>
              <w:spacing w:before="120"/>
              <w:rPr>
                <w:bCs/>
                <w:snapToGrid w:val="0"/>
              </w:rPr>
            </w:pPr>
            <w:r w:rsidRPr="00ED5AD0">
              <w:rPr>
                <w:bCs/>
                <w:snapToGrid w:val="0"/>
              </w:rPr>
              <w:t>58.6%</w:t>
            </w:r>
          </w:p>
        </w:tc>
        <w:tc>
          <w:tcPr>
            <w:tcW w:w="1082" w:type="dxa"/>
          </w:tcPr>
          <w:p w14:paraId="47C7D9B0" w14:textId="77777777" w:rsidR="008F6F92" w:rsidRPr="00ED5AD0" w:rsidRDefault="008F6F92" w:rsidP="008F6F92">
            <w:pPr>
              <w:spacing w:before="120"/>
              <w:rPr>
                <w:snapToGrid w:val="0"/>
              </w:rPr>
            </w:pPr>
          </w:p>
          <w:p w14:paraId="58F70AA7" w14:textId="77777777" w:rsidR="008F6F92" w:rsidRPr="00ED5AD0" w:rsidRDefault="008F6F92" w:rsidP="008F6F92">
            <w:pPr>
              <w:spacing w:before="120"/>
              <w:rPr>
                <w:snapToGrid w:val="0"/>
              </w:rPr>
            </w:pPr>
            <w:r w:rsidRPr="00ED5AD0">
              <w:rPr>
                <w:snapToGrid w:val="0"/>
              </w:rPr>
              <w:t xml:space="preserve">50.00%   </w:t>
            </w:r>
          </w:p>
          <w:p w14:paraId="1860A115" w14:textId="77777777" w:rsidR="008F6F92" w:rsidRPr="00ED5AD0" w:rsidRDefault="008F6F92" w:rsidP="008F6F92">
            <w:pPr>
              <w:spacing w:before="120"/>
              <w:rPr>
                <w:snapToGrid w:val="0"/>
              </w:rPr>
            </w:pPr>
            <w:r w:rsidRPr="00ED5AD0">
              <w:rPr>
                <w:snapToGrid w:val="0"/>
              </w:rPr>
              <w:t>50.00%</w:t>
            </w:r>
          </w:p>
        </w:tc>
        <w:tc>
          <w:tcPr>
            <w:tcW w:w="1079" w:type="dxa"/>
            <w:shd w:val="clear" w:color="auto" w:fill="auto"/>
          </w:tcPr>
          <w:p w14:paraId="4E105222" w14:textId="77777777" w:rsidR="008F6F92" w:rsidRPr="00ED5AD0" w:rsidRDefault="008F6F92" w:rsidP="008F6F92">
            <w:pPr>
              <w:spacing w:before="120"/>
              <w:rPr>
                <w:snapToGrid w:val="0"/>
              </w:rPr>
            </w:pPr>
          </w:p>
          <w:p w14:paraId="632BC255" w14:textId="77777777" w:rsidR="008F6F92" w:rsidRPr="00ED5AD0" w:rsidRDefault="008F6F92" w:rsidP="008F6F92">
            <w:pPr>
              <w:spacing w:before="120"/>
              <w:rPr>
                <w:snapToGrid w:val="0"/>
              </w:rPr>
            </w:pPr>
            <w:r w:rsidRPr="00ED5AD0">
              <w:rPr>
                <w:snapToGrid w:val="0"/>
              </w:rPr>
              <w:t>47.92%</w:t>
            </w:r>
          </w:p>
          <w:p w14:paraId="20CB2ADF" w14:textId="77777777" w:rsidR="008F6F92" w:rsidRPr="00ED5AD0" w:rsidRDefault="008F6F92" w:rsidP="008F6F92">
            <w:pPr>
              <w:spacing w:before="120"/>
              <w:rPr>
                <w:snapToGrid w:val="0"/>
              </w:rPr>
            </w:pPr>
            <w:r w:rsidRPr="00ED5AD0">
              <w:rPr>
                <w:snapToGrid w:val="0"/>
              </w:rPr>
              <w:t>52.08%</w:t>
            </w:r>
          </w:p>
        </w:tc>
        <w:tc>
          <w:tcPr>
            <w:tcW w:w="1079" w:type="dxa"/>
            <w:shd w:val="clear" w:color="auto" w:fill="auto"/>
          </w:tcPr>
          <w:p w14:paraId="2D386762" w14:textId="77777777" w:rsidR="008F6F92" w:rsidRPr="00ED5AD0" w:rsidRDefault="008F6F92" w:rsidP="008F6F92">
            <w:pPr>
              <w:spacing w:before="120"/>
              <w:rPr>
                <w:snapToGrid w:val="0"/>
              </w:rPr>
            </w:pPr>
          </w:p>
          <w:p w14:paraId="67E2E12F" w14:textId="77777777" w:rsidR="008F6F92" w:rsidRPr="00ED5AD0" w:rsidRDefault="008F6F92" w:rsidP="008F6F92">
            <w:pPr>
              <w:spacing w:before="120"/>
              <w:rPr>
                <w:snapToGrid w:val="0"/>
              </w:rPr>
            </w:pPr>
            <w:r w:rsidRPr="00ED5AD0">
              <w:rPr>
                <w:snapToGrid w:val="0"/>
              </w:rPr>
              <w:t>56.85%</w:t>
            </w:r>
          </w:p>
          <w:p w14:paraId="05E5A5F7" w14:textId="77777777" w:rsidR="008F6F92" w:rsidRPr="00ED5AD0" w:rsidRDefault="008F6F92" w:rsidP="008F6F92">
            <w:pPr>
              <w:spacing w:before="120"/>
              <w:rPr>
                <w:snapToGrid w:val="0"/>
              </w:rPr>
            </w:pPr>
            <w:r w:rsidRPr="00ED5AD0">
              <w:rPr>
                <w:snapToGrid w:val="0"/>
              </w:rPr>
              <w:t>43.15%</w:t>
            </w:r>
          </w:p>
        </w:tc>
        <w:tc>
          <w:tcPr>
            <w:tcW w:w="1079" w:type="dxa"/>
            <w:shd w:val="clear" w:color="auto" w:fill="auto"/>
          </w:tcPr>
          <w:p w14:paraId="561C98B2" w14:textId="77777777" w:rsidR="008F6F92" w:rsidRPr="00ED5AD0" w:rsidRDefault="008F6F92" w:rsidP="008F6F92">
            <w:pPr>
              <w:spacing w:before="120"/>
              <w:rPr>
                <w:snapToGrid w:val="0"/>
              </w:rPr>
            </w:pPr>
          </w:p>
          <w:p w14:paraId="221AC5B3" w14:textId="77777777" w:rsidR="008F6F92" w:rsidRPr="00ED5AD0" w:rsidRDefault="008F6F92" w:rsidP="008F6F92">
            <w:pPr>
              <w:spacing w:before="120"/>
              <w:rPr>
                <w:snapToGrid w:val="0"/>
              </w:rPr>
            </w:pPr>
            <w:r w:rsidRPr="00ED5AD0">
              <w:rPr>
                <w:snapToGrid w:val="0"/>
              </w:rPr>
              <w:t>48.30%</w:t>
            </w:r>
          </w:p>
          <w:p w14:paraId="781F201E" w14:textId="77777777" w:rsidR="008F6F92" w:rsidRPr="00ED5AD0" w:rsidRDefault="008F6F92" w:rsidP="008F6F92">
            <w:pPr>
              <w:spacing w:before="120"/>
              <w:rPr>
                <w:snapToGrid w:val="0"/>
              </w:rPr>
            </w:pPr>
            <w:r w:rsidRPr="00ED5AD0">
              <w:rPr>
                <w:snapToGrid w:val="0"/>
              </w:rPr>
              <w:t>51.70%</w:t>
            </w:r>
          </w:p>
        </w:tc>
        <w:tc>
          <w:tcPr>
            <w:tcW w:w="1079" w:type="dxa"/>
            <w:shd w:val="clear" w:color="auto" w:fill="auto"/>
          </w:tcPr>
          <w:p w14:paraId="5D2012A9" w14:textId="77777777" w:rsidR="008F6F92" w:rsidRPr="00ED5AD0" w:rsidRDefault="008F6F92" w:rsidP="008F6F92">
            <w:pPr>
              <w:spacing w:before="120"/>
              <w:rPr>
                <w:snapToGrid w:val="0"/>
              </w:rPr>
            </w:pPr>
          </w:p>
          <w:p w14:paraId="3278CFA9" w14:textId="77777777" w:rsidR="008F6F92" w:rsidRPr="00ED5AD0" w:rsidRDefault="008F6F92" w:rsidP="008F6F92">
            <w:pPr>
              <w:spacing w:before="120"/>
              <w:rPr>
                <w:snapToGrid w:val="0"/>
              </w:rPr>
            </w:pPr>
            <w:r w:rsidRPr="00ED5AD0">
              <w:rPr>
                <w:snapToGrid w:val="0"/>
              </w:rPr>
              <w:t>45.75%</w:t>
            </w:r>
          </w:p>
          <w:p w14:paraId="5FC3604F" w14:textId="77777777" w:rsidR="008F6F92" w:rsidRPr="00ED5AD0" w:rsidRDefault="008F6F92" w:rsidP="008F6F92">
            <w:pPr>
              <w:spacing w:before="120"/>
              <w:rPr>
                <w:snapToGrid w:val="0"/>
              </w:rPr>
            </w:pPr>
            <w:r w:rsidRPr="00ED5AD0">
              <w:rPr>
                <w:snapToGrid w:val="0"/>
              </w:rPr>
              <w:t>54.25%</w:t>
            </w:r>
          </w:p>
        </w:tc>
        <w:tc>
          <w:tcPr>
            <w:tcW w:w="1030" w:type="dxa"/>
            <w:shd w:val="clear" w:color="auto" w:fill="auto"/>
          </w:tcPr>
          <w:p w14:paraId="65528F56" w14:textId="77777777" w:rsidR="008F6F92" w:rsidRPr="00ED5AD0" w:rsidRDefault="008F6F92" w:rsidP="008F6F92">
            <w:pPr>
              <w:spacing w:before="120"/>
              <w:rPr>
                <w:snapToGrid w:val="0"/>
              </w:rPr>
            </w:pPr>
          </w:p>
          <w:p w14:paraId="2B51D1E0" w14:textId="77777777" w:rsidR="008F6F92" w:rsidRPr="00ED5AD0" w:rsidRDefault="008F6F92" w:rsidP="008F6F92">
            <w:pPr>
              <w:spacing w:before="120"/>
              <w:rPr>
                <w:snapToGrid w:val="0"/>
              </w:rPr>
            </w:pPr>
            <w:r w:rsidRPr="00ED5AD0">
              <w:rPr>
                <w:snapToGrid w:val="0"/>
              </w:rPr>
              <w:t>45.10%</w:t>
            </w:r>
          </w:p>
          <w:p w14:paraId="7CED4CF9" w14:textId="77777777" w:rsidR="008F6F92" w:rsidRPr="00ED5AD0" w:rsidRDefault="008F6F92" w:rsidP="008F6F92">
            <w:pPr>
              <w:spacing w:before="120"/>
              <w:rPr>
                <w:snapToGrid w:val="0"/>
              </w:rPr>
            </w:pPr>
            <w:r w:rsidRPr="00ED5AD0">
              <w:rPr>
                <w:snapToGrid w:val="0"/>
              </w:rPr>
              <w:t>54.90%</w:t>
            </w:r>
          </w:p>
        </w:tc>
      </w:tr>
      <w:tr w:rsidR="008F6F92" w:rsidRPr="00ED5AD0" w14:paraId="191A21E5" w14:textId="77777777" w:rsidTr="00F80F47">
        <w:tc>
          <w:tcPr>
            <w:tcW w:w="2066" w:type="dxa"/>
            <w:shd w:val="clear" w:color="auto" w:fill="auto"/>
          </w:tcPr>
          <w:p w14:paraId="6D165F75" w14:textId="77777777" w:rsidR="008F6F92" w:rsidRPr="00ED5AD0" w:rsidRDefault="008F6F92" w:rsidP="008F6F92">
            <w:pPr>
              <w:spacing w:before="120"/>
              <w:rPr>
                <w:snapToGrid w:val="0"/>
              </w:rPr>
            </w:pPr>
            <w:r w:rsidRPr="00ED5AD0">
              <w:rPr>
                <w:snapToGrid w:val="0"/>
              </w:rPr>
              <w:t xml:space="preserve">Lower quartile:           </w:t>
            </w:r>
          </w:p>
          <w:p w14:paraId="0E58EE43" w14:textId="77777777" w:rsidR="008F6F92" w:rsidRPr="00ED5AD0" w:rsidRDefault="008F6F92" w:rsidP="008F6F92">
            <w:pPr>
              <w:spacing w:before="120"/>
              <w:rPr>
                <w:snapToGrid w:val="0"/>
              </w:rPr>
            </w:pPr>
            <w:r w:rsidRPr="00ED5AD0">
              <w:rPr>
                <w:snapToGrid w:val="0"/>
              </w:rPr>
              <w:t>men                                       women</w:t>
            </w:r>
          </w:p>
        </w:tc>
        <w:tc>
          <w:tcPr>
            <w:tcW w:w="759" w:type="dxa"/>
          </w:tcPr>
          <w:p w14:paraId="509DABBE" w14:textId="77777777" w:rsidR="008F6F92" w:rsidRPr="00ED5AD0" w:rsidRDefault="008F6F92" w:rsidP="008F6F92">
            <w:pPr>
              <w:spacing w:before="120"/>
              <w:rPr>
                <w:b/>
                <w:snapToGrid w:val="0"/>
              </w:rPr>
            </w:pPr>
          </w:p>
          <w:p w14:paraId="4BD27AA1" w14:textId="77777777" w:rsidR="008F6F92" w:rsidRPr="00ED5AD0" w:rsidRDefault="008F6F92" w:rsidP="008F6F92">
            <w:pPr>
              <w:spacing w:before="120"/>
              <w:rPr>
                <w:b/>
                <w:snapToGrid w:val="0"/>
              </w:rPr>
            </w:pPr>
            <w:r w:rsidRPr="00ED5AD0">
              <w:rPr>
                <w:b/>
                <w:snapToGrid w:val="0"/>
              </w:rPr>
              <w:t>37.7%</w:t>
            </w:r>
          </w:p>
          <w:p w14:paraId="2778DC8E" w14:textId="64B74DD3" w:rsidR="008F6F92" w:rsidRPr="00ED5AD0" w:rsidRDefault="008F6F92" w:rsidP="008F6F92">
            <w:pPr>
              <w:spacing w:before="120"/>
              <w:rPr>
                <w:b/>
                <w:snapToGrid w:val="0"/>
              </w:rPr>
            </w:pPr>
            <w:r w:rsidRPr="00ED5AD0">
              <w:rPr>
                <w:b/>
                <w:snapToGrid w:val="0"/>
              </w:rPr>
              <w:t>62.3%</w:t>
            </w:r>
          </w:p>
        </w:tc>
        <w:tc>
          <w:tcPr>
            <w:tcW w:w="943" w:type="dxa"/>
          </w:tcPr>
          <w:p w14:paraId="04B94368" w14:textId="22977539" w:rsidR="008F6F92" w:rsidRPr="00ED5AD0" w:rsidRDefault="008F6F92" w:rsidP="008F6F92">
            <w:pPr>
              <w:spacing w:before="120"/>
              <w:rPr>
                <w:bCs/>
                <w:snapToGrid w:val="0"/>
              </w:rPr>
            </w:pPr>
          </w:p>
          <w:p w14:paraId="525B8FB2" w14:textId="77777777" w:rsidR="008F6F92" w:rsidRPr="00ED5AD0" w:rsidRDefault="008F6F92" w:rsidP="008F6F92">
            <w:pPr>
              <w:spacing w:before="120"/>
              <w:rPr>
                <w:bCs/>
                <w:snapToGrid w:val="0"/>
              </w:rPr>
            </w:pPr>
            <w:r w:rsidRPr="00ED5AD0">
              <w:rPr>
                <w:bCs/>
                <w:snapToGrid w:val="0"/>
              </w:rPr>
              <w:t>47.8%</w:t>
            </w:r>
          </w:p>
          <w:p w14:paraId="1DA4923B" w14:textId="77777777" w:rsidR="008F6F92" w:rsidRPr="00ED5AD0" w:rsidRDefault="008F6F92" w:rsidP="008F6F92">
            <w:pPr>
              <w:spacing w:before="120"/>
              <w:rPr>
                <w:bCs/>
                <w:snapToGrid w:val="0"/>
              </w:rPr>
            </w:pPr>
            <w:r w:rsidRPr="00ED5AD0">
              <w:rPr>
                <w:bCs/>
                <w:snapToGrid w:val="0"/>
              </w:rPr>
              <w:t>52.2%</w:t>
            </w:r>
          </w:p>
        </w:tc>
        <w:tc>
          <w:tcPr>
            <w:tcW w:w="1082" w:type="dxa"/>
          </w:tcPr>
          <w:p w14:paraId="4D8AB0DB" w14:textId="77777777" w:rsidR="008F6F92" w:rsidRPr="00ED5AD0" w:rsidRDefault="008F6F92" w:rsidP="008F6F92">
            <w:pPr>
              <w:spacing w:before="120"/>
              <w:rPr>
                <w:snapToGrid w:val="0"/>
              </w:rPr>
            </w:pPr>
          </w:p>
          <w:p w14:paraId="41C03D20" w14:textId="77777777" w:rsidR="002E38B8" w:rsidRPr="00ED5AD0" w:rsidRDefault="008F6F92" w:rsidP="008F6F92">
            <w:pPr>
              <w:spacing w:before="120"/>
              <w:rPr>
                <w:snapToGrid w:val="0"/>
              </w:rPr>
            </w:pPr>
            <w:r w:rsidRPr="00ED5AD0">
              <w:rPr>
                <w:snapToGrid w:val="0"/>
              </w:rPr>
              <w:t>51.13%</w:t>
            </w:r>
          </w:p>
          <w:p w14:paraId="5CAFB014" w14:textId="210F651C" w:rsidR="008F6F92" w:rsidRPr="00ED5AD0" w:rsidRDefault="008F6F92" w:rsidP="008F6F92">
            <w:pPr>
              <w:spacing w:before="120"/>
              <w:rPr>
                <w:snapToGrid w:val="0"/>
              </w:rPr>
            </w:pPr>
            <w:r w:rsidRPr="00ED5AD0">
              <w:rPr>
                <w:snapToGrid w:val="0"/>
              </w:rPr>
              <w:t>48.76%</w:t>
            </w:r>
          </w:p>
        </w:tc>
        <w:tc>
          <w:tcPr>
            <w:tcW w:w="1079" w:type="dxa"/>
            <w:shd w:val="clear" w:color="auto" w:fill="auto"/>
          </w:tcPr>
          <w:p w14:paraId="5B02C608" w14:textId="77777777" w:rsidR="008F6F92" w:rsidRPr="00ED5AD0" w:rsidRDefault="008F6F92" w:rsidP="008F6F92">
            <w:pPr>
              <w:spacing w:before="120"/>
              <w:rPr>
                <w:snapToGrid w:val="0"/>
              </w:rPr>
            </w:pPr>
          </w:p>
          <w:p w14:paraId="147407C9" w14:textId="77777777" w:rsidR="008F6F92" w:rsidRPr="00ED5AD0" w:rsidRDefault="008F6F92" w:rsidP="008F6F92">
            <w:pPr>
              <w:spacing w:before="120"/>
              <w:rPr>
                <w:snapToGrid w:val="0"/>
              </w:rPr>
            </w:pPr>
            <w:r w:rsidRPr="00ED5AD0">
              <w:rPr>
                <w:snapToGrid w:val="0"/>
              </w:rPr>
              <w:t>49.31%</w:t>
            </w:r>
          </w:p>
          <w:p w14:paraId="425B6C8E" w14:textId="77777777" w:rsidR="008F6F92" w:rsidRPr="00ED5AD0" w:rsidRDefault="008F6F92" w:rsidP="008F6F92">
            <w:pPr>
              <w:spacing w:before="120"/>
              <w:rPr>
                <w:snapToGrid w:val="0"/>
              </w:rPr>
            </w:pPr>
            <w:r w:rsidRPr="00ED5AD0">
              <w:rPr>
                <w:snapToGrid w:val="0"/>
              </w:rPr>
              <w:t>50.69%</w:t>
            </w:r>
          </w:p>
        </w:tc>
        <w:tc>
          <w:tcPr>
            <w:tcW w:w="1079" w:type="dxa"/>
            <w:shd w:val="clear" w:color="auto" w:fill="auto"/>
          </w:tcPr>
          <w:p w14:paraId="486068D0" w14:textId="77777777" w:rsidR="008F6F92" w:rsidRPr="00ED5AD0" w:rsidRDefault="008F6F92" w:rsidP="008F6F92">
            <w:pPr>
              <w:spacing w:before="120"/>
              <w:rPr>
                <w:snapToGrid w:val="0"/>
              </w:rPr>
            </w:pPr>
          </w:p>
          <w:p w14:paraId="35A1DC9D" w14:textId="77777777" w:rsidR="008F6F92" w:rsidRPr="00ED5AD0" w:rsidRDefault="008F6F92" w:rsidP="008F6F92">
            <w:pPr>
              <w:spacing w:before="120"/>
              <w:rPr>
                <w:snapToGrid w:val="0"/>
              </w:rPr>
            </w:pPr>
            <w:r w:rsidRPr="00ED5AD0">
              <w:rPr>
                <w:snapToGrid w:val="0"/>
              </w:rPr>
              <w:t>49.32%</w:t>
            </w:r>
          </w:p>
          <w:p w14:paraId="1D993FD7" w14:textId="77777777" w:rsidR="008F6F92" w:rsidRPr="00ED5AD0" w:rsidRDefault="008F6F92" w:rsidP="008F6F92">
            <w:pPr>
              <w:spacing w:before="120"/>
              <w:rPr>
                <w:snapToGrid w:val="0"/>
              </w:rPr>
            </w:pPr>
            <w:r w:rsidRPr="00ED5AD0">
              <w:rPr>
                <w:snapToGrid w:val="0"/>
              </w:rPr>
              <w:t>50.68%</w:t>
            </w:r>
          </w:p>
        </w:tc>
        <w:tc>
          <w:tcPr>
            <w:tcW w:w="1079" w:type="dxa"/>
            <w:shd w:val="clear" w:color="auto" w:fill="auto"/>
          </w:tcPr>
          <w:p w14:paraId="1B32D58D" w14:textId="77777777" w:rsidR="008F6F92" w:rsidRPr="00ED5AD0" w:rsidRDefault="008F6F92" w:rsidP="008F6F92">
            <w:pPr>
              <w:spacing w:before="120"/>
              <w:rPr>
                <w:snapToGrid w:val="0"/>
              </w:rPr>
            </w:pPr>
          </w:p>
          <w:p w14:paraId="08374FC7" w14:textId="77777777" w:rsidR="008F6F92" w:rsidRPr="00ED5AD0" w:rsidRDefault="008F6F92" w:rsidP="008F6F92">
            <w:pPr>
              <w:spacing w:before="120"/>
              <w:rPr>
                <w:snapToGrid w:val="0"/>
              </w:rPr>
            </w:pPr>
            <w:r w:rsidRPr="00ED5AD0">
              <w:rPr>
                <w:snapToGrid w:val="0"/>
              </w:rPr>
              <w:t>49.32%</w:t>
            </w:r>
          </w:p>
          <w:p w14:paraId="4CFC38B1" w14:textId="77777777" w:rsidR="008F6F92" w:rsidRPr="00ED5AD0" w:rsidRDefault="008F6F92" w:rsidP="008F6F92">
            <w:pPr>
              <w:spacing w:before="120"/>
              <w:rPr>
                <w:snapToGrid w:val="0"/>
              </w:rPr>
            </w:pPr>
            <w:r w:rsidRPr="00ED5AD0">
              <w:rPr>
                <w:snapToGrid w:val="0"/>
              </w:rPr>
              <w:t>50.68%</w:t>
            </w:r>
          </w:p>
        </w:tc>
        <w:tc>
          <w:tcPr>
            <w:tcW w:w="1079" w:type="dxa"/>
            <w:shd w:val="clear" w:color="auto" w:fill="auto"/>
          </w:tcPr>
          <w:p w14:paraId="0317CF5F" w14:textId="77777777" w:rsidR="008F6F92" w:rsidRPr="00ED5AD0" w:rsidRDefault="008F6F92" w:rsidP="008F6F92">
            <w:pPr>
              <w:spacing w:before="120"/>
              <w:rPr>
                <w:snapToGrid w:val="0"/>
              </w:rPr>
            </w:pPr>
          </w:p>
          <w:p w14:paraId="437B26A9" w14:textId="77777777" w:rsidR="008F6F92" w:rsidRPr="00ED5AD0" w:rsidRDefault="008F6F92" w:rsidP="008F6F92">
            <w:pPr>
              <w:spacing w:before="120"/>
              <w:rPr>
                <w:snapToGrid w:val="0"/>
              </w:rPr>
            </w:pPr>
            <w:r w:rsidRPr="00ED5AD0">
              <w:rPr>
                <w:snapToGrid w:val="0"/>
              </w:rPr>
              <w:t>44.74%</w:t>
            </w:r>
          </w:p>
          <w:p w14:paraId="6686EF3F" w14:textId="77777777" w:rsidR="008F6F92" w:rsidRPr="00ED5AD0" w:rsidRDefault="008F6F92" w:rsidP="008F6F92">
            <w:pPr>
              <w:spacing w:before="120"/>
              <w:rPr>
                <w:snapToGrid w:val="0"/>
              </w:rPr>
            </w:pPr>
            <w:r w:rsidRPr="00ED5AD0">
              <w:rPr>
                <w:snapToGrid w:val="0"/>
              </w:rPr>
              <w:t>55.26%</w:t>
            </w:r>
          </w:p>
        </w:tc>
        <w:tc>
          <w:tcPr>
            <w:tcW w:w="1030" w:type="dxa"/>
            <w:shd w:val="clear" w:color="auto" w:fill="auto"/>
          </w:tcPr>
          <w:p w14:paraId="61952A2A" w14:textId="77777777" w:rsidR="008F6F92" w:rsidRPr="00ED5AD0" w:rsidRDefault="008F6F92" w:rsidP="008F6F92">
            <w:pPr>
              <w:spacing w:before="120"/>
              <w:rPr>
                <w:snapToGrid w:val="0"/>
              </w:rPr>
            </w:pPr>
          </w:p>
          <w:p w14:paraId="327F64C6" w14:textId="77777777" w:rsidR="008F6F92" w:rsidRPr="00ED5AD0" w:rsidRDefault="008F6F92" w:rsidP="008F6F92">
            <w:pPr>
              <w:spacing w:before="120"/>
              <w:rPr>
                <w:snapToGrid w:val="0"/>
              </w:rPr>
            </w:pPr>
            <w:r w:rsidRPr="00ED5AD0">
              <w:rPr>
                <w:snapToGrid w:val="0"/>
              </w:rPr>
              <w:t>48.37%</w:t>
            </w:r>
          </w:p>
          <w:p w14:paraId="5C49DFC3" w14:textId="77777777" w:rsidR="008F6F92" w:rsidRPr="00ED5AD0" w:rsidRDefault="008F6F92" w:rsidP="008F6F92">
            <w:pPr>
              <w:spacing w:before="120"/>
              <w:rPr>
                <w:snapToGrid w:val="0"/>
              </w:rPr>
            </w:pPr>
            <w:r w:rsidRPr="00ED5AD0">
              <w:rPr>
                <w:snapToGrid w:val="0"/>
              </w:rPr>
              <w:t>51.63%</w:t>
            </w:r>
          </w:p>
        </w:tc>
      </w:tr>
    </w:tbl>
    <w:p w14:paraId="19AC4710" w14:textId="62F2DDA3" w:rsidR="00DB1F3A" w:rsidRPr="00ED5AD0" w:rsidRDefault="00DB1F3A" w:rsidP="00DB1F3A">
      <w:pPr>
        <w:spacing w:before="120"/>
        <w:rPr>
          <w:snapToGrid w:val="0"/>
        </w:rPr>
      </w:pPr>
      <w:r w:rsidRPr="00ED5AD0">
        <w:rPr>
          <w:snapToGrid w:val="0"/>
        </w:rPr>
        <w:tab/>
      </w:r>
      <w:r w:rsidRPr="00ED5AD0">
        <w:rPr>
          <w:snapToGrid w:val="0"/>
        </w:rPr>
        <w:tab/>
      </w:r>
      <w:r w:rsidRPr="00ED5AD0">
        <w:rPr>
          <w:snapToGrid w:val="0"/>
        </w:rPr>
        <w:tab/>
      </w:r>
      <w:r w:rsidRPr="00ED5AD0">
        <w:rPr>
          <w:snapToGrid w:val="0"/>
        </w:rPr>
        <w:tab/>
        <w:t xml:space="preserve"> </w:t>
      </w:r>
    </w:p>
    <w:p w14:paraId="2859BDF2" w14:textId="77777777" w:rsidR="00406EF3" w:rsidRPr="00ED5AD0" w:rsidRDefault="00406EF3" w:rsidP="00406EF3">
      <w:pPr>
        <w:spacing w:before="120"/>
        <w:rPr>
          <w:snapToGrid w:val="0"/>
        </w:rPr>
      </w:pPr>
      <w:r w:rsidRPr="00ED5AD0">
        <w:rPr>
          <w:snapToGrid w:val="0"/>
        </w:rPr>
        <w:t>* A minus figure indicates that the median pay for women is higher than it is for men</w:t>
      </w:r>
    </w:p>
    <w:p w14:paraId="15D8AF74" w14:textId="77777777" w:rsidR="00406EF3" w:rsidRPr="00ED5AD0" w:rsidRDefault="00406EF3" w:rsidP="00406EF3">
      <w:pPr>
        <w:rPr>
          <w:snapToGrid w:val="0"/>
        </w:rPr>
      </w:pPr>
      <w:r w:rsidRPr="00ED5AD0">
        <w:rPr>
          <w:snapToGrid w:val="0"/>
        </w:rPr>
        <w:t xml:space="preserve">** </w:t>
      </w:r>
      <w:proofErr w:type="gramStart"/>
      <w:r w:rsidRPr="00ED5AD0">
        <w:rPr>
          <w:snapToGrid w:val="0"/>
        </w:rPr>
        <w:t>For the purpose of</w:t>
      </w:r>
      <w:proofErr w:type="gramEnd"/>
      <w:r w:rsidRPr="00ED5AD0">
        <w:rPr>
          <w:snapToGrid w:val="0"/>
        </w:rPr>
        <w:t xml:space="preserve"> reporting, market supplement payments are included as “bonus payments”</w:t>
      </w:r>
    </w:p>
    <w:p w14:paraId="4D15E686" w14:textId="77777777" w:rsidR="00DB1F3A" w:rsidRPr="00ED5AD0" w:rsidRDefault="00DB1F3A" w:rsidP="00DB1F3A">
      <w:pPr>
        <w:rPr>
          <w:snapToGrid w:val="0"/>
        </w:rPr>
      </w:pPr>
    </w:p>
    <w:p w14:paraId="296449A0" w14:textId="77777777" w:rsidR="00125EFF" w:rsidRPr="00ED5AD0" w:rsidRDefault="00125EFF" w:rsidP="00DB1F3A">
      <w:pPr>
        <w:rPr>
          <w:snapToGrid w:val="0"/>
        </w:rPr>
      </w:pPr>
    </w:p>
    <w:p w14:paraId="6C0315E1" w14:textId="77777777" w:rsidR="00125EFF" w:rsidRPr="00ED5AD0" w:rsidRDefault="00125EFF" w:rsidP="00DB1F3A">
      <w:pPr>
        <w:rPr>
          <w:snapToGrid w:val="0"/>
        </w:rPr>
      </w:pPr>
    </w:p>
    <w:p w14:paraId="2803E0F6" w14:textId="77777777" w:rsidR="00125EFF" w:rsidRPr="00ED5AD0" w:rsidRDefault="00125EFF" w:rsidP="00DB1F3A">
      <w:pPr>
        <w:rPr>
          <w:snapToGrid w:val="0"/>
        </w:rPr>
      </w:pPr>
    </w:p>
    <w:p w14:paraId="5C39703B" w14:textId="77777777" w:rsidR="00DB1F3A" w:rsidRPr="00ED5AD0" w:rsidRDefault="00DB1F3A" w:rsidP="00DB1F3A">
      <w:pPr>
        <w:rPr>
          <w:snapToGrid w:val="0"/>
        </w:rPr>
      </w:pPr>
    </w:p>
    <w:p w14:paraId="22936133" w14:textId="77777777" w:rsidR="00DB1F3A" w:rsidRPr="00ED5AD0" w:rsidRDefault="00DB1F3A" w:rsidP="00DB1F3A">
      <w:pPr>
        <w:rPr>
          <w:b/>
          <w:snapToGrid w:val="0"/>
        </w:rPr>
      </w:pPr>
      <w:r w:rsidRPr="00ED5AD0">
        <w:rPr>
          <w:b/>
          <w:snapToGrid w:val="0"/>
        </w:rPr>
        <w:t>Narrative</w:t>
      </w:r>
    </w:p>
    <w:p w14:paraId="4112E7F5" w14:textId="77777777" w:rsidR="00125EFF" w:rsidRPr="00ED5AD0" w:rsidRDefault="00125EFF" w:rsidP="00DB1F3A">
      <w:pPr>
        <w:rPr>
          <w:b/>
          <w:snapToGrid w:val="0"/>
        </w:rPr>
      </w:pPr>
    </w:p>
    <w:p w14:paraId="5ADB6E71" w14:textId="77777777" w:rsidR="00331626" w:rsidRPr="00ED5AD0" w:rsidRDefault="00331626" w:rsidP="00331626">
      <w:pPr>
        <w:rPr>
          <w:snapToGrid w:val="0"/>
        </w:rPr>
      </w:pPr>
      <w:r w:rsidRPr="00ED5AD0">
        <w:rPr>
          <w:snapToGrid w:val="0"/>
        </w:rPr>
        <w:t xml:space="preserve">In summary, the mean gender </w:t>
      </w:r>
      <w:proofErr w:type="gramStart"/>
      <w:r w:rsidRPr="00ED5AD0">
        <w:rPr>
          <w:snapToGrid w:val="0"/>
        </w:rPr>
        <w:t>pay</w:t>
      </w:r>
      <w:proofErr w:type="gramEnd"/>
      <w:r w:rsidRPr="00ED5AD0">
        <w:rPr>
          <w:snapToGrid w:val="0"/>
        </w:rPr>
        <w:t xml:space="preserve"> gap remains well within the parameters that might be expected for similar public sector organisations. </w:t>
      </w:r>
    </w:p>
    <w:p w14:paraId="2F28DE10" w14:textId="77777777" w:rsidR="00331626" w:rsidRPr="00ED5AD0" w:rsidRDefault="00331626" w:rsidP="00331626">
      <w:pPr>
        <w:rPr>
          <w:snapToGrid w:val="0"/>
        </w:rPr>
      </w:pPr>
    </w:p>
    <w:p w14:paraId="4DDBCCB3" w14:textId="77777777" w:rsidR="00331626" w:rsidRPr="00ED5AD0" w:rsidRDefault="00331626" w:rsidP="00331626">
      <w:pPr>
        <w:rPr>
          <w:snapToGrid w:val="0"/>
        </w:rPr>
      </w:pPr>
      <w:r w:rsidRPr="00ED5AD0">
        <w:rPr>
          <w:snapToGrid w:val="0"/>
        </w:rPr>
        <w:t xml:space="preserve">The quartile distribution is well-balanced in the upper three quartiles with very small variations which suggests that in these areas there is a healthy proportionality in terms of gender within pay bands. </w:t>
      </w:r>
    </w:p>
    <w:p w14:paraId="0448D469" w14:textId="77777777" w:rsidR="00331626" w:rsidRPr="00ED5AD0" w:rsidRDefault="00331626" w:rsidP="00331626">
      <w:pPr>
        <w:rPr>
          <w:snapToGrid w:val="0"/>
        </w:rPr>
      </w:pPr>
    </w:p>
    <w:p w14:paraId="79096A67" w14:textId="77777777" w:rsidR="00331626" w:rsidRPr="00ED5AD0" w:rsidRDefault="00331626" w:rsidP="00331626">
      <w:pPr>
        <w:rPr>
          <w:snapToGrid w:val="0"/>
        </w:rPr>
      </w:pPr>
      <w:r w:rsidRPr="00ED5AD0">
        <w:rPr>
          <w:snapToGrid w:val="0"/>
        </w:rPr>
        <w:t xml:space="preserve">The lower quartile, however, does contain a disproportionate number of female employees. This is unusual when considering the earlier reports since 2017 when the distribution of gender in this quartile was much more balanced. Over recent years several changes have taken place that has affected (improved) pay at the lower end of the pay scale including the increasing of the minimum pay point for all posts, and secondly, pay has been improved for skilled driving jobs to reflect the change in working practices. Although all post grades are determined through a job evaluation process, these changes have resulted in most jobs in the lower quartile now being those within leisure centres. Proportionately, the number of jobs in these areas of work are part-time jobs and still, societally, it is also the case that as a proportion, more women than men tend to undertake part-time work. </w:t>
      </w:r>
    </w:p>
    <w:p w14:paraId="7943DC56" w14:textId="77777777" w:rsidR="00331626" w:rsidRPr="00ED5AD0" w:rsidRDefault="00331626" w:rsidP="00331626">
      <w:pPr>
        <w:rPr>
          <w:snapToGrid w:val="0"/>
        </w:rPr>
      </w:pPr>
    </w:p>
    <w:p w14:paraId="3B68D73D" w14:textId="77777777" w:rsidR="00331626" w:rsidRPr="00ED5AD0" w:rsidRDefault="00331626" w:rsidP="00331626">
      <w:pPr>
        <w:rPr>
          <w:snapToGrid w:val="0"/>
        </w:rPr>
      </w:pPr>
      <w:r w:rsidRPr="00ED5AD0">
        <w:rPr>
          <w:snapToGrid w:val="0"/>
        </w:rPr>
        <w:t>Since last year the overall median pay gap has reduced again and now reflects only a negligible gender pay gap.</w:t>
      </w:r>
    </w:p>
    <w:p w14:paraId="40160CB6" w14:textId="77777777" w:rsidR="00331626" w:rsidRPr="00ED5AD0" w:rsidRDefault="00331626" w:rsidP="00331626">
      <w:pPr>
        <w:rPr>
          <w:snapToGrid w:val="0"/>
        </w:rPr>
      </w:pPr>
    </w:p>
    <w:p w14:paraId="58405758" w14:textId="1D33F5DE" w:rsidR="00331626" w:rsidRPr="00ED5AD0" w:rsidRDefault="0054015A" w:rsidP="00331626">
      <w:pPr>
        <w:rPr>
          <w:snapToGrid w:val="0"/>
        </w:rPr>
      </w:pPr>
      <w:r w:rsidRPr="00ED5AD0">
        <w:rPr>
          <w:snapToGrid w:val="0"/>
        </w:rPr>
        <w:t xml:space="preserve">Whilst </w:t>
      </w:r>
      <w:r w:rsidR="00331626" w:rsidRPr="00ED5AD0">
        <w:rPr>
          <w:snapToGrid w:val="0"/>
        </w:rPr>
        <w:t xml:space="preserve">the overall mean gender </w:t>
      </w:r>
      <w:proofErr w:type="gramStart"/>
      <w:r w:rsidR="00331626" w:rsidRPr="00ED5AD0">
        <w:rPr>
          <w:snapToGrid w:val="0"/>
        </w:rPr>
        <w:t>pay</w:t>
      </w:r>
      <w:proofErr w:type="gramEnd"/>
      <w:r w:rsidR="00331626" w:rsidRPr="00ED5AD0">
        <w:rPr>
          <w:snapToGrid w:val="0"/>
        </w:rPr>
        <w:t xml:space="preserve"> gap remains low, the organisation will continue to be aware of the need to aspire to a gender-neutral state in terms of both mean and median pay differential. </w:t>
      </w:r>
    </w:p>
    <w:p w14:paraId="3763BF2F" w14:textId="77777777" w:rsidR="00331626" w:rsidRPr="00ED5AD0" w:rsidRDefault="00331626" w:rsidP="00331626">
      <w:pPr>
        <w:rPr>
          <w:snapToGrid w:val="0"/>
        </w:rPr>
      </w:pPr>
    </w:p>
    <w:p w14:paraId="08AA3D5A" w14:textId="77777777" w:rsidR="00331626" w:rsidRPr="00ED5AD0" w:rsidRDefault="00331626" w:rsidP="00331626">
      <w:pPr>
        <w:rPr>
          <w:snapToGrid w:val="0"/>
        </w:rPr>
      </w:pPr>
      <w:r w:rsidRPr="00ED5AD0">
        <w:rPr>
          <w:snapToGrid w:val="0"/>
        </w:rPr>
        <w:t xml:space="preserve">In previous years the Council has applied market premium supplements to some </w:t>
      </w:r>
      <w:proofErr w:type="gramStart"/>
      <w:r w:rsidRPr="00ED5AD0">
        <w:rPr>
          <w:snapToGrid w:val="0"/>
        </w:rPr>
        <w:t>posts</w:t>
      </w:r>
      <w:proofErr w:type="gramEnd"/>
      <w:r w:rsidRPr="00ED5AD0">
        <w:rPr>
          <w:snapToGrid w:val="0"/>
        </w:rPr>
        <w:t xml:space="preserve"> and it is these that have been classed as bonus payments. This year there have been no market supplements paid.</w:t>
      </w:r>
    </w:p>
    <w:p w14:paraId="06005FEB" w14:textId="77777777" w:rsidR="00331626" w:rsidRPr="00ED5AD0" w:rsidRDefault="00331626" w:rsidP="00331626">
      <w:pPr>
        <w:rPr>
          <w:snapToGrid w:val="0"/>
        </w:rPr>
      </w:pPr>
    </w:p>
    <w:p w14:paraId="576C7304" w14:textId="77777777" w:rsidR="00331626" w:rsidRPr="00ED5AD0" w:rsidRDefault="00331626" w:rsidP="00331626">
      <w:pPr>
        <w:rPr>
          <w:snapToGrid w:val="0"/>
        </w:rPr>
      </w:pPr>
      <w:r w:rsidRPr="00ED5AD0">
        <w:rPr>
          <w:snapToGrid w:val="0"/>
        </w:rPr>
        <w:t xml:space="preserve">The organisation considers itself to be caring and recognises the complex needs of its employees through the practical application of supportive working practices.  Practical measures to support such statements include the adoption of flexible working arrangements implemented through its employment policies.  Other policies have also been introduced to support women in the workplace such as the “Menopause in the Workplace Policy”. The Equality Policy (Employment) was also reviewed in early 2021 and the Fostering-friendly Policy was introduced towards the end of 2022. Last year the Council’s Equality, Diversity and Inclusion corporate training programme was launched together with a new Workforce Strategy. </w:t>
      </w:r>
    </w:p>
    <w:p w14:paraId="76854694" w14:textId="77777777" w:rsidR="00331626" w:rsidRPr="00ED5AD0" w:rsidRDefault="00331626" w:rsidP="00331626">
      <w:pPr>
        <w:rPr>
          <w:snapToGrid w:val="0"/>
        </w:rPr>
      </w:pPr>
    </w:p>
    <w:p w14:paraId="71F18BB5" w14:textId="3B2E95E8" w:rsidR="00331626" w:rsidRPr="00ED5AD0" w:rsidRDefault="00331626" w:rsidP="00331626">
      <w:pPr>
        <w:rPr>
          <w:snapToGrid w:val="0"/>
        </w:rPr>
      </w:pPr>
      <w:r w:rsidRPr="00ED5AD0">
        <w:rPr>
          <w:snapToGrid w:val="0"/>
        </w:rPr>
        <w:t xml:space="preserve">Although the organisation does not yet have a neutral mean gender pay gap, the gap continues to remain low relative to many other businesses. This positive position reflects the organisation that we aspire to be a fair place to work and one in which supportive employment policies go </w:t>
      </w:r>
      <w:proofErr w:type="gramStart"/>
      <w:r w:rsidRPr="00ED5AD0">
        <w:rPr>
          <w:snapToGrid w:val="0"/>
        </w:rPr>
        <w:t>hand-in-hand</w:t>
      </w:r>
      <w:proofErr w:type="gramEnd"/>
      <w:r w:rsidRPr="00ED5AD0">
        <w:rPr>
          <w:snapToGrid w:val="0"/>
        </w:rPr>
        <w:t xml:space="preserve"> with an established and transparent job evaluation scheme. </w:t>
      </w:r>
    </w:p>
    <w:p w14:paraId="03DCA0EB" w14:textId="77777777" w:rsidR="00EF3710" w:rsidRPr="00ED5AD0" w:rsidRDefault="00EF3710" w:rsidP="00EF3710">
      <w:pPr>
        <w:rPr>
          <w:snapToGrid w:val="0"/>
        </w:rPr>
      </w:pPr>
    </w:p>
    <w:p w14:paraId="56E5E6AE" w14:textId="0539B143" w:rsidR="00464CF9" w:rsidRPr="00ED5AD0" w:rsidRDefault="00EF3710" w:rsidP="00ED5AD0">
      <w:pPr>
        <w:rPr>
          <w:b/>
          <w:bCs/>
        </w:rPr>
      </w:pPr>
      <w:r w:rsidRPr="00ED5AD0">
        <w:br w:type="page"/>
      </w:r>
      <w:r w:rsidR="00464CF9" w:rsidRPr="00ED5AD0">
        <w:rPr>
          <w:b/>
          <w:bCs/>
        </w:rPr>
        <w:lastRenderedPageBreak/>
        <w:t xml:space="preserve">Appendix </w:t>
      </w:r>
      <w:r w:rsidR="0019479A" w:rsidRPr="00ED5AD0">
        <w:rPr>
          <w:b/>
          <w:bCs/>
        </w:rPr>
        <w:t>C</w:t>
      </w:r>
    </w:p>
    <w:p w14:paraId="4CCF88D6" w14:textId="77777777" w:rsidR="00464CF9" w:rsidRPr="00ED5AD0" w:rsidRDefault="00464CF9" w:rsidP="001A57CF">
      <w:pPr>
        <w:jc w:val="right"/>
      </w:pPr>
    </w:p>
    <w:p w14:paraId="50C15B99" w14:textId="77777777" w:rsidR="00464CF9" w:rsidRPr="00ED5AD0" w:rsidRDefault="00464CF9" w:rsidP="00464CF9">
      <w:pPr>
        <w:pStyle w:val="Heading1"/>
        <w:rPr>
          <w:sz w:val="28"/>
          <w:szCs w:val="28"/>
        </w:rPr>
      </w:pPr>
      <w:r w:rsidRPr="00ED5AD0">
        <w:rPr>
          <w:sz w:val="28"/>
          <w:szCs w:val="28"/>
        </w:rPr>
        <w:t>Pay Policy</w:t>
      </w:r>
      <w:r w:rsidR="008F6A10" w:rsidRPr="00ED5AD0">
        <w:rPr>
          <w:sz w:val="28"/>
          <w:szCs w:val="28"/>
        </w:rPr>
        <w:t xml:space="preserve"> </w:t>
      </w:r>
      <w:r w:rsidRPr="00ED5AD0">
        <w:rPr>
          <w:sz w:val="28"/>
          <w:szCs w:val="28"/>
        </w:rPr>
        <w:t>– Single Status Employees</w:t>
      </w:r>
    </w:p>
    <w:p w14:paraId="24E3DEF7" w14:textId="77777777" w:rsidR="00464CF9" w:rsidRPr="00ED5AD0" w:rsidRDefault="00464CF9" w:rsidP="00464CF9">
      <w:pPr>
        <w:pStyle w:val="Heading2"/>
        <w:rPr>
          <w:rFonts w:ascii="Arial" w:hAnsi="Arial" w:cs="Arial"/>
          <w:i w:val="0"/>
          <w:sz w:val="24"/>
          <w:szCs w:val="24"/>
        </w:rPr>
      </w:pPr>
      <w:r w:rsidRPr="00ED5AD0">
        <w:rPr>
          <w:rFonts w:ascii="Arial" w:hAnsi="Arial" w:cs="Arial"/>
          <w:i w:val="0"/>
          <w:sz w:val="24"/>
          <w:szCs w:val="24"/>
        </w:rPr>
        <w:t>1.  Purpose of Policy</w:t>
      </w:r>
    </w:p>
    <w:p w14:paraId="54ED702A" w14:textId="77777777" w:rsidR="00464CF9" w:rsidRPr="00ED5AD0" w:rsidRDefault="00464CF9" w:rsidP="00464CF9">
      <w:pPr>
        <w:rPr>
          <w:rFonts w:cs="Arial"/>
          <w:szCs w:val="24"/>
        </w:rPr>
      </w:pPr>
      <w:r w:rsidRPr="00ED5AD0">
        <w:rPr>
          <w:rFonts w:cs="Arial"/>
          <w:szCs w:val="24"/>
        </w:rPr>
        <w:t>To establish the principles and arrangements for pay for all employees in the Authority linked to the job evaluation of all posts.</w:t>
      </w:r>
    </w:p>
    <w:p w14:paraId="33F4CB35" w14:textId="77777777" w:rsidR="00464CF9" w:rsidRPr="00ED5AD0" w:rsidRDefault="00464CF9" w:rsidP="00464CF9">
      <w:pPr>
        <w:rPr>
          <w:rFonts w:cs="Arial"/>
          <w:szCs w:val="24"/>
        </w:rPr>
      </w:pPr>
    </w:p>
    <w:p w14:paraId="512482D3" w14:textId="77777777" w:rsidR="00464CF9" w:rsidRPr="00ED5AD0" w:rsidRDefault="00464CF9" w:rsidP="00464CF9">
      <w:pPr>
        <w:pStyle w:val="Heading2"/>
        <w:rPr>
          <w:rFonts w:ascii="Arial" w:hAnsi="Arial" w:cs="Arial"/>
          <w:i w:val="0"/>
          <w:sz w:val="24"/>
          <w:szCs w:val="24"/>
        </w:rPr>
      </w:pPr>
      <w:r w:rsidRPr="00ED5AD0">
        <w:rPr>
          <w:rFonts w:ascii="Arial" w:hAnsi="Arial" w:cs="Arial"/>
          <w:i w:val="0"/>
          <w:sz w:val="24"/>
          <w:szCs w:val="24"/>
        </w:rPr>
        <w:t>2.  Objectives</w:t>
      </w:r>
    </w:p>
    <w:p w14:paraId="00BBB8F0" w14:textId="77777777" w:rsidR="00464CF9" w:rsidRPr="00ED5AD0" w:rsidRDefault="00464CF9" w:rsidP="00D32888">
      <w:pPr>
        <w:numPr>
          <w:ilvl w:val="0"/>
          <w:numId w:val="6"/>
        </w:numPr>
        <w:tabs>
          <w:tab w:val="clear" w:pos="360"/>
          <w:tab w:val="num" w:pos="720"/>
        </w:tabs>
        <w:ind w:left="720"/>
        <w:rPr>
          <w:rFonts w:cs="Arial"/>
          <w:szCs w:val="24"/>
        </w:rPr>
      </w:pPr>
      <w:r w:rsidRPr="00ED5AD0">
        <w:rPr>
          <w:rFonts w:cs="Arial"/>
          <w:szCs w:val="24"/>
        </w:rPr>
        <w:t>To ensure all pay arrangements reflect equal pay for work of equal value.</w:t>
      </w:r>
    </w:p>
    <w:p w14:paraId="3CB29253" w14:textId="77777777" w:rsidR="00464CF9" w:rsidRPr="00ED5AD0" w:rsidRDefault="00464CF9" w:rsidP="00D32888">
      <w:pPr>
        <w:numPr>
          <w:ilvl w:val="0"/>
          <w:numId w:val="6"/>
        </w:numPr>
        <w:tabs>
          <w:tab w:val="clear" w:pos="360"/>
          <w:tab w:val="num" w:pos="720"/>
        </w:tabs>
        <w:ind w:left="720"/>
        <w:rPr>
          <w:rFonts w:cs="Arial"/>
          <w:szCs w:val="24"/>
        </w:rPr>
      </w:pPr>
      <w:r w:rsidRPr="00ED5AD0">
        <w:rPr>
          <w:rFonts w:cs="Arial"/>
          <w:szCs w:val="24"/>
        </w:rPr>
        <w:t>To establish clear and consistent approaches to pay.</w:t>
      </w:r>
    </w:p>
    <w:p w14:paraId="29A44A67" w14:textId="77777777" w:rsidR="00464CF9" w:rsidRPr="00ED5AD0" w:rsidRDefault="00464CF9" w:rsidP="00D32888">
      <w:pPr>
        <w:numPr>
          <w:ilvl w:val="0"/>
          <w:numId w:val="6"/>
        </w:numPr>
        <w:tabs>
          <w:tab w:val="clear" w:pos="360"/>
          <w:tab w:val="num" w:pos="720"/>
        </w:tabs>
        <w:ind w:left="720"/>
        <w:rPr>
          <w:rFonts w:cs="Arial"/>
          <w:szCs w:val="24"/>
        </w:rPr>
      </w:pPr>
      <w:r w:rsidRPr="00ED5AD0">
        <w:rPr>
          <w:rFonts w:cs="Arial"/>
          <w:szCs w:val="24"/>
        </w:rPr>
        <w:t>To reflect how employees develop in skills and knowledge within a job.</w:t>
      </w:r>
    </w:p>
    <w:p w14:paraId="1EC724F7" w14:textId="77777777" w:rsidR="00464CF9" w:rsidRPr="00ED5AD0" w:rsidRDefault="00464CF9" w:rsidP="00D32888">
      <w:pPr>
        <w:numPr>
          <w:ilvl w:val="0"/>
          <w:numId w:val="6"/>
        </w:numPr>
        <w:tabs>
          <w:tab w:val="clear" w:pos="360"/>
          <w:tab w:val="num" w:pos="720"/>
        </w:tabs>
        <w:ind w:left="720"/>
        <w:rPr>
          <w:rFonts w:cs="Arial"/>
          <w:szCs w:val="24"/>
        </w:rPr>
      </w:pPr>
      <w:r w:rsidRPr="00ED5AD0">
        <w:rPr>
          <w:rFonts w:cs="Arial"/>
          <w:szCs w:val="24"/>
        </w:rPr>
        <w:t>To provide a basis for establishing the grading system in relation to job evaluation.</w:t>
      </w:r>
    </w:p>
    <w:p w14:paraId="58E1DF83" w14:textId="77777777" w:rsidR="00464CF9" w:rsidRPr="00ED5AD0" w:rsidRDefault="00464CF9" w:rsidP="00464CF9">
      <w:pPr>
        <w:ind w:left="360"/>
        <w:rPr>
          <w:rFonts w:cs="Arial"/>
          <w:szCs w:val="24"/>
        </w:rPr>
      </w:pPr>
    </w:p>
    <w:p w14:paraId="6C487EE0" w14:textId="77777777" w:rsidR="00464CF9" w:rsidRPr="00ED5AD0" w:rsidRDefault="00464CF9" w:rsidP="00464CF9">
      <w:pPr>
        <w:pStyle w:val="Heading2"/>
        <w:rPr>
          <w:rFonts w:ascii="Arial" w:hAnsi="Arial" w:cs="Arial"/>
          <w:i w:val="0"/>
          <w:sz w:val="24"/>
          <w:szCs w:val="24"/>
        </w:rPr>
      </w:pPr>
      <w:r w:rsidRPr="00ED5AD0">
        <w:rPr>
          <w:rFonts w:ascii="Arial" w:hAnsi="Arial" w:cs="Arial"/>
          <w:i w:val="0"/>
          <w:sz w:val="24"/>
          <w:szCs w:val="24"/>
        </w:rPr>
        <w:t>3.  Pay Points</w:t>
      </w:r>
    </w:p>
    <w:p w14:paraId="343852DC" w14:textId="38255040" w:rsidR="00464CF9" w:rsidRPr="00ED5AD0" w:rsidRDefault="00464CF9" w:rsidP="00464CF9">
      <w:pPr>
        <w:rPr>
          <w:rFonts w:cs="Arial"/>
          <w:szCs w:val="24"/>
        </w:rPr>
      </w:pPr>
      <w:r w:rsidRPr="00ED5AD0">
        <w:rPr>
          <w:rFonts w:cs="Arial"/>
          <w:szCs w:val="24"/>
        </w:rPr>
        <w:t xml:space="preserve">The pay points for all employees covered by the single status agreement will be nationally agreed </w:t>
      </w:r>
      <w:r w:rsidR="008F1576" w:rsidRPr="00ED5AD0">
        <w:rPr>
          <w:rFonts w:cs="Arial"/>
          <w:szCs w:val="24"/>
        </w:rPr>
        <w:t xml:space="preserve">pay </w:t>
      </w:r>
      <w:r w:rsidRPr="00ED5AD0">
        <w:rPr>
          <w:rFonts w:cs="Arial"/>
          <w:szCs w:val="24"/>
        </w:rPr>
        <w:t xml:space="preserve">points.  In the final grading </w:t>
      </w:r>
      <w:proofErr w:type="gramStart"/>
      <w:r w:rsidRPr="00ED5AD0">
        <w:rPr>
          <w:rFonts w:cs="Arial"/>
          <w:szCs w:val="24"/>
        </w:rPr>
        <w:t>structure</w:t>
      </w:r>
      <w:proofErr w:type="gramEnd"/>
      <w:r w:rsidRPr="00ED5AD0">
        <w:rPr>
          <w:rFonts w:cs="Arial"/>
          <w:szCs w:val="24"/>
        </w:rPr>
        <w:t xml:space="preserve"> it is possible that not all of the points will be utilised.  If necessary local points will be developed within the single status pay and grading structure</w:t>
      </w:r>
      <w:r w:rsidR="003C766C" w:rsidRPr="00ED5AD0">
        <w:rPr>
          <w:rFonts w:cs="Arial"/>
          <w:szCs w:val="24"/>
        </w:rPr>
        <w:t xml:space="preserve"> </w:t>
      </w:r>
      <w:proofErr w:type="gramStart"/>
      <w:r w:rsidR="003C766C" w:rsidRPr="00ED5AD0">
        <w:rPr>
          <w:rFonts w:cs="Arial"/>
          <w:szCs w:val="24"/>
        </w:rPr>
        <w:t>in order to</w:t>
      </w:r>
      <w:proofErr w:type="gramEnd"/>
      <w:r w:rsidR="003C766C" w:rsidRPr="00ED5AD0">
        <w:rPr>
          <w:rFonts w:cs="Arial"/>
          <w:szCs w:val="24"/>
        </w:rPr>
        <w:t xml:space="preserve"> meet organisational need</w:t>
      </w:r>
      <w:r w:rsidRPr="00ED5AD0">
        <w:rPr>
          <w:rFonts w:cs="Arial"/>
          <w:szCs w:val="24"/>
        </w:rPr>
        <w:t>.</w:t>
      </w:r>
      <w:r w:rsidR="00EF3710" w:rsidRPr="00ED5AD0">
        <w:rPr>
          <w:rFonts w:cs="Arial"/>
          <w:szCs w:val="24"/>
        </w:rPr>
        <w:t xml:space="preserve"> The Council’s lowest pay point for non-training posts is SCP5 in Band 3.</w:t>
      </w:r>
    </w:p>
    <w:p w14:paraId="6FCF8295" w14:textId="77777777" w:rsidR="00464CF9" w:rsidRPr="00ED5AD0" w:rsidRDefault="00464CF9" w:rsidP="00464CF9">
      <w:pPr>
        <w:rPr>
          <w:rFonts w:cs="Arial"/>
          <w:szCs w:val="24"/>
        </w:rPr>
      </w:pPr>
    </w:p>
    <w:p w14:paraId="06D184F8" w14:textId="77777777" w:rsidR="00464CF9" w:rsidRPr="00ED5AD0" w:rsidRDefault="00464CF9" w:rsidP="00D32888">
      <w:pPr>
        <w:pStyle w:val="Heading2"/>
        <w:numPr>
          <w:ilvl w:val="0"/>
          <w:numId w:val="24"/>
        </w:numPr>
        <w:rPr>
          <w:rFonts w:ascii="Arial" w:hAnsi="Arial" w:cs="Arial"/>
          <w:i w:val="0"/>
          <w:sz w:val="24"/>
          <w:szCs w:val="24"/>
        </w:rPr>
      </w:pPr>
      <w:r w:rsidRPr="00ED5AD0">
        <w:rPr>
          <w:rFonts w:ascii="Arial" w:hAnsi="Arial" w:cs="Arial"/>
          <w:i w:val="0"/>
          <w:sz w:val="24"/>
          <w:szCs w:val="24"/>
        </w:rPr>
        <w:t>Pay Award</w:t>
      </w:r>
    </w:p>
    <w:p w14:paraId="2EE6D4DE" w14:textId="77777777" w:rsidR="00464CF9" w:rsidRPr="00ED5AD0" w:rsidRDefault="00464CF9" w:rsidP="00080E1E">
      <w:pPr>
        <w:rPr>
          <w:rFonts w:cs="Arial"/>
          <w:szCs w:val="24"/>
        </w:rPr>
      </w:pPr>
      <w:r w:rsidRPr="00ED5AD0">
        <w:rPr>
          <w:rFonts w:cs="Arial"/>
          <w:szCs w:val="24"/>
        </w:rPr>
        <w:t xml:space="preserve">The nationally agreed pay award determined </w:t>
      </w:r>
      <w:proofErr w:type="gramStart"/>
      <w:r w:rsidRPr="00ED5AD0">
        <w:rPr>
          <w:rFonts w:cs="Arial"/>
          <w:szCs w:val="24"/>
        </w:rPr>
        <w:t>at</w:t>
      </w:r>
      <w:proofErr w:type="gramEnd"/>
      <w:r w:rsidRPr="00ED5AD0">
        <w:rPr>
          <w:rFonts w:cs="Arial"/>
          <w:szCs w:val="24"/>
        </w:rPr>
        <w:t xml:space="preserve"> 1 April each year will be applied to the spinal column points used in the grading structure, including any locally set points.</w:t>
      </w:r>
    </w:p>
    <w:p w14:paraId="68811A05" w14:textId="77777777" w:rsidR="00464CF9" w:rsidRPr="00ED5AD0" w:rsidRDefault="00464CF9" w:rsidP="00464CF9">
      <w:pPr>
        <w:rPr>
          <w:rFonts w:cs="Arial"/>
          <w:szCs w:val="24"/>
        </w:rPr>
      </w:pPr>
    </w:p>
    <w:p w14:paraId="3BD015B2" w14:textId="77777777" w:rsidR="00464CF9" w:rsidRPr="00ED5AD0" w:rsidRDefault="00464CF9" w:rsidP="00D32888">
      <w:pPr>
        <w:pStyle w:val="Heading2"/>
        <w:numPr>
          <w:ilvl w:val="0"/>
          <w:numId w:val="24"/>
        </w:numPr>
        <w:spacing w:before="0" w:after="0"/>
        <w:rPr>
          <w:rFonts w:ascii="Arial" w:hAnsi="Arial" w:cs="Arial"/>
          <w:i w:val="0"/>
          <w:sz w:val="24"/>
          <w:szCs w:val="24"/>
        </w:rPr>
      </w:pPr>
      <w:r w:rsidRPr="00ED5AD0">
        <w:rPr>
          <w:rFonts w:ascii="Arial" w:hAnsi="Arial" w:cs="Arial"/>
          <w:i w:val="0"/>
          <w:sz w:val="24"/>
          <w:szCs w:val="24"/>
        </w:rPr>
        <w:t>Incremental Progression</w:t>
      </w:r>
    </w:p>
    <w:p w14:paraId="38DD2C60" w14:textId="77777777" w:rsidR="00464CF9" w:rsidRPr="00ED5AD0" w:rsidRDefault="00464CF9" w:rsidP="00D32888">
      <w:pPr>
        <w:numPr>
          <w:ilvl w:val="1"/>
          <w:numId w:val="39"/>
        </w:numPr>
        <w:ind w:left="720"/>
        <w:rPr>
          <w:rFonts w:cs="Arial"/>
          <w:szCs w:val="24"/>
        </w:rPr>
      </w:pPr>
      <w:r w:rsidRPr="00ED5AD0">
        <w:rPr>
          <w:rFonts w:cs="Arial"/>
          <w:szCs w:val="24"/>
        </w:rPr>
        <w:t xml:space="preserve">All jobs will be allocated to a scale consisting of </w:t>
      </w:r>
      <w:proofErr w:type="gramStart"/>
      <w:r w:rsidRPr="00ED5AD0">
        <w:rPr>
          <w:rFonts w:cs="Arial"/>
          <w:szCs w:val="24"/>
        </w:rPr>
        <w:t>a number of</w:t>
      </w:r>
      <w:proofErr w:type="gramEnd"/>
      <w:r w:rsidRPr="00ED5AD0">
        <w:rPr>
          <w:rFonts w:cs="Arial"/>
          <w:szCs w:val="24"/>
        </w:rPr>
        <w:t xml:space="preserve"> incremental points not exceeding 5.  The scales will not overlap and depending on the final grading structure may not be continuous with the national spinal column points. </w:t>
      </w:r>
    </w:p>
    <w:p w14:paraId="17FC2922" w14:textId="77777777" w:rsidR="00464CF9" w:rsidRPr="00ED5AD0" w:rsidRDefault="00464CF9" w:rsidP="00464CF9">
      <w:pPr>
        <w:rPr>
          <w:rFonts w:cs="Arial"/>
          <w:szCs w:val="24"/>
        </w:rPr>
      </w:pPr>
    </w:p>
    <w:p w14:paraId="3FC2B10D" w14:textId="19274D3A" w:rsidR="00464CF9" w:rsidRPr="00ED5AD0" w:rsidRDefault="00464CF9" w:rsidP="00D32888">
      <w:pPr>
        <w:numPr>
          <w:ilvl w:val="1"/>
          <w:numId w:val="39"/>
        </w:numPr>
        <w:ind w:left="720"/>
        <w:rPr>
          <w:rFonts w:cs="Arial"/>
          <w:szCs w:val="24"/>
        </w:rPr>
      </w:pPr>
      <w:r w:rsidRPr="00ED5AD0">
        <w:rPr>
          <w:rFonts w:cs="Arial"/>
          <w:szCs w:val="24"/>
        </w:rPr>
        <w:t xml:space="preserve">In most cases employees appointed to a new post will start at the bottom incremental point of the grade for the post.  Where it can be demonstrated through the selection process that an individual candidate has relevant experience or qualifications, appointment at a higher incremental point may be justified.  This should be agreed by the </w:t>
      </w:r>
      <w:r w:rsidR="000D6358" w:rsidRPr="00ED5AD0">
        <w:rPr>
          <w:rFonts w:cs="Arial"/>
          <w:szCs w:val="24"/>
        </w:rPr>
        <w:t xml:space="preserve">Corporate </w:t>
      </w:r>
      <w:r w:rsidR="005103EB" w:rsidRPr="00ED5AD0">
        <w:rPr>
          <w:rFonts w:cs="Arial"/>
          <w:szCs w:val="24"/>
        </w:rPr>
        <w:t>Director</w:t>
      </w:r>
      <w:r w:rsidRPr="00ED5AD0">
        <w:rPr>
          <w:rFonts w:cs="Arial"/>
          <w:szCs w:val="24"/>
        </w:rPr>
        <w:t xml:space="preserve"> following consultation with personnel to ensure consistency both within Departments and across the Authority.</w:t>
      </w:r>
    </w:p>
    <w:p w14:paraId="2B0F264D" w14:textId="77777777" w:rsidR="00464CF9" w:rsidRPr="00ED5AD0" w:rsidRDefault="00464CF9" w:rsidP="00464CF9">
      <w:pPr>
        <w:rPr>
          <w:rFonts w:cs="Arial"/>
          <w:szCs w:val="24"/>
        </w:rPr>
      </w:pPr>
    </w:p>
    <w:p w14:paraId="7F3D24FF" w14:textId="77777777" w:rsidR="00464CF9" w:rsidRPr="00ED5AD0" w:rsidRDefault="00464CF9" w:rsidP="00D32888">
      <w:pPr>
        <w:numPr>
          <w:ilvl w:val="1"/>
          <w:numId w:val="39"/>
        </w:numPr>
        <w:ind w:left="720"/>
        <w:rPr>
          <w:rFonts w:cs="Arial"/>
          <w:szCs w:val="24"/>
        </w:rPr>
      </w:pPr>
      <w:r w:rsidRPr="00ED5AD0">
        <w:rPr>
          <w:rFonts w:cs="Arial"/>
          <w:szCs w:val="24"/>
        </w:rPr>
        <w:t xml:space="preserve">Employees will progress to the next incremental point on their grade on 1 April of each year except where the employee has been in post less than 6 months.  Where an employee has been in post less than 6 months </w:t>
      </w:r>
      <w:proofErr w:type="gramStart"/>
      <w:r w:rsidRPr="00ED5AD0">
        <w:rPr>
          <w:rFonts w:cs="Arial"/>
          <w:szCs w:val="24"/>
        </w:rPr>
        <w:t>at</w:t>
      </w:r>
      <w:proofErr w:type="gramEnd"/>
      <w:r w:rsidRPr="00ED5AD0">
        <w:rPr>
          <w:rFonts w:cs="Arial"/>
          <w:szCs w:val="24"/>
        </w:rPr>
        <w:t xml:space="preserve"> 1 April, they will progress to the next incremental point 6 months after appointment and thereafter on 1 April each year. </w:t>
      </w:r>
    </w:p>
    <w:p w14:paraId="67C14059" w14:textId="77777777" w:rsidR="00464CF9" w:rsidRPr="00ED5AD0" w:rsidRDefault="00464CF9" w:rsidP="00464CF9">
      <w:pPr>
        <w:rPr>
          <w:rFonts w:cs="Arial"/>
          <w:szCs w:val="24"/>
        </w:rPr>
      </w:pPr>
    </w:p>
    <w:p w14:paraId="7BCE7DF4" w14:textId="6D6BFD9E" w:rsidR="00464CF9" w:rsidRPr="00ED5AD0" w:rsidRDefault="00464CF9" w:rsidP="00D32888">
      <w:pPr>
        <w:numPr>
          <w:ilvl w:val="1"/>
          <w:numId w:val="39"/>
        </w:numPr>
        <w:ind w:left="720"/>
        <w:rPr>
          <w:rFonts w:cs="Arial"/>
          <w:szCs w:val="24"/>
        </w:rPr>
      </w:pPr>
      <w:r w:rsidRPr="00ED5AD0">
        <w:rPr>
          <w:rFonts w:cs="Arial"/>
          <w:szCs w:val="24"/>
        </w:rPr>
        <w:t xml:space="preserve">Employees will progress automatically through the incremental scale in accordance with paragraph </w:t>
      </w:r>
      <w:r w:rsidR="003C766C" w:rsidRPr="00ED5AD0">
        <w:rPr>
          <w:rFonts w:cs="Arial"/>
          <w:szCs w:val="24"/>
        </w:rPr>
        <w:t>c</w:t>
      </w:r>
      <w:r w:rsidRPr="00ED5AD0">
        <w:rPr>
          <w:rFonts w:cs="Arial"/>
          <w:szCs w:val="24"/>
        </w:rPr>
        <w:t>. In the exceptional circumstances that an employee is not meeting output and quality standards expected for a post</w:t>
      </w:r>
      <w:r w:rsidR="0054015A" w:rsidRPr="00ED5AD0">
        <w:rPr>
          <w:rFonts w:cs="Arial"/>
          <w:szCs w:val="24"/>
        </w:rPr>
        <w:t>,</w:t>
      </w:r>
      <w:r w:rsidRPr="00ED5AD0">
        <w:rPr>
          <w:rFonts w:cs="Arial"/>
          <w:szCs w:val="24"/>
        </w:rPr>
        <w:t xml:space="preserve"> the </w:t>
      </w:r>
      <w:r w:rsidR="000D6358" w:rsidRPr="00ED5AD0">
        <w:rPr>
          <w:rFonts w:cs="Arial"/>
          <w:szCs w:val="24"/>
        </w:rPr>
        <w:t xml:space="preserve">Corporate </w:t>
      </w:r>
      <w:r w:rsidR="005103EB" w:rsidRPr="00ED5AD0">
        <w:rPr>
          <w:rFonts w:cs="Arial"/>
          <w:szCs w:val="24"/>
        </w:rPr>
        <w:t>Director</w:t>
      </w:r>
      <w:r w:rsidRPr="00ED5AD0">
        <w:rPr>
          <w:rFonts w:cs="Arial"/>
          <w:szCs w:val="24"/>
        </w:rPr>
        <w:t xml:space="preserve">, after consultation with </w:t>
      </w:r>
      <w:r w:rsidR="00A91F89" w:rsidRPr="00ED5AD0">
        <w:rPr>
          <w:rFonts w:cs="Arial"/>
          <w:szCs w:val="24"/>
        </w:rPr>
        <w:t xml:space="preserve">the </w:t>
      </w:r>
      <w:r w:rsidR="00AD3716" w:rsidRPr="00ED5AD0">
        <w:rPr>
          <w:rFonts w:cs="Arial"/>
          <w:szCs w:val="24"/>
        </w:rPr>
        <w:t>Assistant Director of Workforce</w:t>
      </w:r>
      <w:r w:rsidRPr="00ED5AD0">
        <w:rPr>
          <w:rFonts w:cs="Arial"/>
          <w:szCs w:val="24"/>
        </w:rPr>
        <w:t xml:space="preserve"> may with</w:t>
      </w:r>
      <w:r w:rsidR="003C766C" w:rsidRPr="00ED5AD0">
        <w:rPr>
          <w:rFonts w:cs="Arial"/>
          <w:szCs w:val="24"/>
        </w:rPr>
        <w:t>hold</w:t>
      </w:r>
      <w:r w:rsidRPr="00ED5AD0">
        <w:rPr>
          <w:rFonts w:cs="Arial"/>
          <w:szCs w:val="24"/>
        </w:rPr>
        <w:t xml:space="preserve"> an increment.  Any such action will be supported by an adverse probation report, extension of probationary service or other formal performance review mechanism.</w:t>
      </w:r>
    </w:p>
    <w:p w14:paraId="3BC301DC" w14:textId="77777777" w:rsidR="00464CF9" w:rsidRPr="00ED5AD0" w:rsidRDefault="00464CF9" w:rsidP="00464CF9">
      <w:pPr>
        <w:rPr>
          <w:rFonts w:cs="Arial"/>
          <w:szCs w:val="24"/>
        </w:rPr>
      </w:pPr>
    </w:p>
    <w:p w14:paraId="432B3774" w14:textId="77777777" w:rsidR="00464CF9" w:rsidRPr="00ED5AD0" w:rsidRDefault="00464CF9" w:rsidP="00D32888">
      <w:pPr>
        <w:numPr>
          <w:ilvl w:val="1"/>
          <w:numId w:val="39"/>
        </w:numPr>
        <w:ind w:left="720"/>
        <w:rPr>
          <w:rFonts w:cs="Arial"/>
          <w:szCs w:val="24"/>
        </w:rPr>
      </w:pPr>
      <w:r w:rsidRPr="00ED5AD0">
        <w:rPr>
          <w:rFonts w:cs="Arial"/>
          <w:szCs w:val="24"/>
        </w:rPr>
        <w:lastRenderedPageBreak/>
        <w:t>The reasons for withholding an increment will be explained to the employee and guidance given about areas for improvement such that incremental progression can continue when standards are met.</w:t>
      </w:r>
    </w:p>
    <w:p w14:paraId="6BFB3182" w14:textId="77777777" w:rsidR="00464CF9" w:rsidRPr="00ED5AD0" w:rsidRDefault="00464CF9" w:rsidP="00464CF9">
      <w:pPr>
        <w:rPr>
          <w:rFonts w:cs="Arial"/>
          <w:szCs w:val="24"/>
        </w:rPr>
      </w:pPr>
    </w:p>
    <w:p w14:paraId="1EA7364C" w14:textId="5A5EDD7D" w:rsidR="00464CF9" w:rsidRPr="00ED5AD0" w:rsidRDefault="00464CF9" w:rsidP="00D32888">
      <w:pPr>
        <w:numPr>
          <w:ilvl w:val="1"/>
          <w:numId w:val="39"/>
        </w:numPr>
        <w:ind w:left="720"/>
        <w:rPr>
          <w:rFonts w:cs="Arial"/>
          <w:szCs w:val="24"/>
        </w:rPr>
      </w:pPr>
      <w:r w:rsidRPr="00ED5AD0">
        <w:rPr>
          <w:rFonts w:cs="Arial"/>
          <w:szCs w:val="24"/>
        </w:rPr>
        <w:t xml:space="preserve">Where an individual employee is dissatisfied with the reasons for withholding an annual increment, they may appeal in writing to the Head of Paid Service, who will review the decision of the </w:t>
      </w:r>
      <w:r w:rsidR="000D6358" w:rsidRPr="00ED5AD0">
        <w:rPr>
          <w:rFonts w:cs="Arial"/>
          <w:szCs w:val="24"/>
        </w:rPr>
        <w:t xml:space="preserve">Corporate </w:t>
      </w:r>
      <w:r w:rsidR="005103EB" w:rsidRPr="00ED5AD0">
        <w:rPr>
          <w:rFonts w:cs="Arial"/>
          <w:szCs w:val="24"/>
        </w:rPr>
        <w:t>Director</w:t>
      </w:r>
      <w:r w:rsidRPr="00ED5AD0">
        <w:rPr>
          <w:rFonts w:cs="Arial"/>
          <w:szCs w:val="24"/>
        </w:rPr>
        <w:t xml:space="preserve">.  </w:t>
      </w:r>
    </w:p>
    <w:p w14:paraId="0FDAD502" w14:textId="77777777" w:rsidR="00464CF9" w:rsidRPr="00ED5AD0" w:rsidRDefault="00464CF9" w:rsidP="00464CF9">
      <w:pPr>
        <w:rPr>
          <w:rFonts w:cs="Arial"/>
          <w:szCs w:val="24"/>
        </w:rPr>
      </w:pPr>
    </w:p>
    <w:p w14:paraId="592A6792" w14:textId="77777777" w:rsidR="00464CF9" w:rsidRPr="00ED5AD0" w:rsidRDefault="00464CF9" w:rsidP="00D32888">
      <w:pPr>
        <w:pStyle w:val="Heading2"/>
        <w:numPr>
          <w:ilvl w:val="0"/>
          <w:numId w:val="7"/>
        </w:numPr>
        <w:spacing w:before="0" w:after="0"/>
        <w:rPr>
          <w:rFonts w:ascii="Arial" w:hAnsi="Arial" w:cs="Arial"/>
          <w:i w:val="0"/>
          <w:sz w:val="24"/>
          <w:szCs w:val="24"/>
        </w:rPr>
      </w:pPr>
      <w:r w:rsidRPr="00ED5AD0">
        <w:rPr>
          <w:rFonts w:ascii="Arial" w:hAnsi="Arial" w:cs="Arial"/>
          <w:i w:val="0"/>
          <w:sz w:val="24"/>
          <w:szCs w:val="24"/>
        </w:rPr>
        <w:t>Market Factor Supplements</w:t>
      </w:r>
    </w:p>
    <w:p w14:paraId="4AD42E92" w14:textId="77777777" w:rsidR="00464CF9" w:rsidRPr="00ED5AD0" w:rsidRDefault="00464CF9" w:rsidP="00464CF9">
      <w:pPr>
        <w:rPr>
          <w:rFonts w:cs="Arial"/>
          <w:b/>
          <w:szCs w:val="24"/>
        </w:rPr>
      </w:pPr>
    </w:p>
    <w:p w14:paraId="490B6B68" w14:textId="77777777" w:rsidR="00464CF9" w:rsidRPr="00ED5AD0" w:rsidRDefault="00464CF9" w:rsidP="00D32888">
      <w:pPr>
        <w:numPr>
          <w:ilvl w:val="7"/>
          <w:numId w:val="10"/>
        </w:numPr>
        <w:ind w:left="720"/>
        <w:rPr>
          <w:rFonts w:cs="Arial"/>
          <w:szCs w:val="24"/>
        </w:rPr>
      </w:pPr>
      <w:r w:rsidRPr="00ED5AD0">
        <w:rPr>
          <w:rFonts w:cs="Arial"/>
          <w:szCs w:val="24"/>
        </w:rPr>
        <w:t xml:space="preserve">The pay and grading structure </w:t>
      </w:r>
      <w:proofErr w:type="gramStart"/>
      <w:r w:rsidRPr="00ED5AD0">
        <w:rPr>
          <w:rFonts w:cs="Arial"/>
          <w:szCs w:val="24"/>
        </w:rPr>
        <w:t>has</w:t>
      </w:r>
      <w:proofErr w:type="gramEnd"/>
      <w:r w:rsidRPr="00ED5AD0">
        <w:rPr>
          <w:rFonts w:cs="Arial"/>
          <w:szCs w:val="24"/>
        </w:rPr>
        <w:t xml:space="preserve"> been set to reflect the relative values of jobs within this organisation and at pay levels which reflect the general local employment pay levels.  However, there may be occasions where it is necessary to enhance the pay levels of specific groups of employees where it is proven that it is difficult to attract and retain employees because of external pay levels.  Where such situations are identified, additional market factor supplements may be agreed.</w:t>
      </w:r>
    </w:p>
    <w:p w14:paraId="562462DA" w14:textId="77777777" w:rsidR="00464CF9" w:rsidRPr="00ED5AD0" w:rsidRDefault="00464CF9" w:rsidP="008F6A10">
      <w:pPr>
        <w:rPr>
          <w:rFonts w:cs="Arial"/>
          <w:szCs w:val="24"/>
        </w:rPr>
      </w:pPr>
    </w:p>
    <w:p w14:paraId="4CF11884" w14:textId="77777777" w:rsidR="00464CF9" w:rsidRPr="00ED5AD0" w:rsidRDefault="00464CF9" w:rsidP="00D32888">
      <w:pPr>
        <w:numPr>
          <w:ilvl w:val="7"/>
          <w:numId w:val="10"/>
        </w:numPr>
        <w:ind w:left="720"/>
        <w:rPr>
          <w:rFonts w:cs="Arial"/>
          <w:szCs w:val="24"/>
        </w:rPr>
      </w:pPr>
      <w:r w:rsidRPr="00ED5AD0">
        <w:rPr>
          <w:rFonts w:cs="Arial"/>
          <w:szCs w:val="24"/>
        </w:rPr>
        <w:t xml:space="preserve">Payment of market factor supplements will be made </w:t>
      </w:r>
      <w:proofErr w:type="gramStart"/>
      <w:r w:rsidRPr="00ED5AD0">
        <w:rPr>
          <w:rFonts w:cs="Arial"/>
          <w:szCs w:val="24"/>
        </w:rPr>
        <w:t>taking into account</w:t>
      </w:r>
      <w:proofErr w:type="gramEnd"/>
      <w:r w:rsidRPr="00ED5AD0">
        <w:rPr>
          <w:rFonts w:cs="Arial"/>
          <w:szCs w:val="24"/>
        </w:rPr>
        <w:t xml:space="preserve"> the following factors:</w:t>
      </w:r>
    </w:p>
    <w:p w14:paraId="58465931" w14:textId="77777777" w:rsidR="00464CF9" w:rsidRPr="00ED5AD0" w:rsidRDefault="00464CF9" w:rsidP="00464CF9">
      <w:pPr>
        <w:rPr>
          <w:rFonts w:cs="Arial"/>
          <w:szCs w:val="24"/>
        </w:rPr>
      </w:pPr>
    </w:p>
    <w:p w14:paraId="1DD89374" w14:textId="77777777" w:rsidR="00464CF9" w:rsidRPr="00ED5AD0" w:rsidRDefault="00464CF9" w:rsidP="00D32888">
      <w:pPr>
        <w:numPr>
          <w:ilvl w:val="0"/>
          <w:numId w:val="8"/>
        </w:numPr>
        <w:tabs>
          <w:tab w:val="clear" w:pos="360"/>
          <w:tab w:val="num" w:pos="1080"/>
        </w:tabs>
        <w:ind w:left="1080"/>
        <w:rPr>
          <w:rFonts w:cs="Arial"/>
          <w:szCs w:val="24"/>
        </w:rPr>
      </w:pPr>
      <w:r w:rsidRPr="00ED5AD0">
        <w:rPr>
          <w:rFonts w:cs="Arial"/>
          <w:szCs w:val="24"/>
        </w:rPr>
        <w:t xml:space="preserve">Evidence of high levels of turnover in the </w:t>
      </w:r>
      <w:proofErr w:type="gramStart"/>
      <w:r w:rsidRPr="00ED5AD0">
        <w:rPr>
          <w:rFonts w:cs="Arial"/>
          <w:szCs w:val="24"/>
        </w:rPr>
        <w:t>particular staff</w:t>
      </w:r>
      <w:proofErr w:type="gramEnd"/>
      <w:r w:rsidRPr="00ED5AD0">
        <w:rPr>
          <w:rFonts w:cs="Arial"/>
          <w:szCs w:val="24"/>
        </w:rPr>
        <w:t xml:space="preserve"> group</w:t>
      </w:r>
    </w:p>
    <w:p w14:paraId="189D9D23" w14:textId="77777777" w:rsidR="00464CF9" w:rsidRPr="00ED5AD0" w:rsidRDefault="00464CF9" w:rsidP="00D32888">
      <w:pPr>
        <w:numPr>
          <w:ilvl w:val="0"/>
          <w:numId w:val="8"/>
        </w:numPr>
        <w:tabs>
          <w:tab w:val="clear" w:pos="360"/>
          <w:tab w:val="num" w:pos="1080"/>
        </w:tabs>
        <w:ind w:left="1080"/>
        <w:rPr>
          <w:rFonts w:cs="Arial"/>
          <w:szCs w:val="24"/>
        </w:rPr>
      </w:pPr>
      <w:r w:rsidRPr="00ED5AD0">
        <w:rPr>
          <w:rFonts w:cs="Arial"/>
          <w:szCs w:val="24"/>
        </w:rPr>
        <w:t xml:space="preserve">Evidence of difficulties in recruiting to posts </w:t>
      </w:r>
      <w:proofErr w:type="spellStart"/>
      <w:r w:rsidRPr="00ED5AD0">
        <w:rPr>
          <w:rFonts w:cs="Arial"/>
          <w:szCs w:val="24"/>
        </w:rPr>
        <w:t>ie</w:t>
      </w:r>
      <w:proofErr w:type="spellEnd"/>
      <w:r w:rsidRPr="00ED5AD0">
        <w:rPr>
          <w:rFonts w:cs="Arial"/>
          <w:szCs w:val="24"/>
        </w:rPr>
        <w:t xml:space="preserve"> by low response rates to advertisements or inability to attract suitable candidates</w:t>
      </w:r>
    </w:p>
    <w:p w14:paraId="71A212F1" w14:textId="77777777" w:rsidR="00464CF9" w:rsidRPr="00ED5AD0" w:rsidRDefault="00464CF9" w:rsidP="00D32888">
      <w:pPr>
        <w:numPr>
          <w:ilvl w:val="0"/>
          <w:numId w:val="8"/>
        </w:numPr>
        <w:tabs>
          <w:tab w:val="clear" w:pos="360"/>
          <w:tab w:val="num" w:pos="1080"/>
        </w:tabs>
        <w:ind w:left="1080"/>
        <w:rPr>
          <w:rFonts w:cs="Arial"/>
          <w:szCs w:val="24"/>
        </w:rPr>
      </w:pPr>
      <w:r w:rsidRPr="00ED5AD0">
        <w:rPr>
          <w:rFonts w:cs="Arial"/>
          <w:szCs w:val="24"/>
        </w:rPr>
        <w:t>Comparison with like jobs in other local authorities and more widely in the sector</w:t>
      </w:r>
    </w:p>
    <w:p w14:paraId="71BD8F79" w14:textId="77777777" w:rsidR="00464CF9" w:rsidRPr="00ED5AD0" w:rsidRDefault="00464CF9" w:rsidP="00D32888">
      <w:pPr>
        <w:numPr>
          <w:ilvl w:val="0"/>
          <w:numId w:val="8"/>
        </w:numPr>
        <w:tabs>
          <w:tab w:val="clear" w:pos="360"/>
          <w:tab w:val="num" w:pos="1080"/>
        </w:tabs>
        <w:ind w:left="1080"/>
        <w:rPr>
          <w:rFonts w:cs="Arial"/>
          <w:szCs w:val="24"/>
        </w:rPr>
      </w:pPr>
      <w:r w:rsidRPr="00ED5AD0">
        <w:rPr>
          <w:rFonts w:cs="Arial"/>
          <w:szCs w:val="24"/>
        </w:rPr>
        <w:t>All current employees within the group affected will receive the payment</w:t>
      </w:r>
    </w:p>
    <w:p w14:paraId="103612C4" w14:textId="77777777" w:rsidR="00464CF9" w:rsidRPr="00ED5AD0" w:rsidRDefault="00464CF9" w:rsidP="00D32888">
      <w:pPr>
        <w:numPr>
          <w:ilvl w:val="0"/>
          <w:numId w:val="8"/>
        </w:numPr>
        <w:tabs>
          <w:tab w:val="clear" w:pos="360"/>
          <w:tab w:val="num" w:pos="1080"/>
        </w:tabs>
        <w:ind w:left="1080"/>
        <w:rPr>
          <w:rFonts w:cs="Arial"/>
          <w:szCs w:val="24"/>
        </w:rPr>
      </w:pPr>
      <w:r w:rsidRPr="00ED5AD0">
        <w:rPr>
          <w:rFonts w:cs="Arial"/>
          <w:szCs w:val="24"/>
        </w:rPr>
        <w:t xml:space="preserve">Clear criteria for receiving the payment must be determined </w:t>
      </w:r>
      <w:proofErr w:type="spellStart"/>
      <w:r w:rsidRPr="00ED5AD0">
        <w:rPr>
          <w:rFonts w:cs="Arial"/>
          <w:szCs w:val="24"/>
        </w:rPr>
        <w:t>ie</w:t>
      </w:r>
      <w:proofErr w:type="spellEnd"/>
      <w:r w:rsidRPr="00ED5AD0">
        <w:rPr>
          <w:rFonts w:cs="Arial"/>
          <w:szCs w:val="24"/>
        </w:rPr>
        <w:t xml:space="preserve"> possession of specific qualifications and length of experience etc.</w:t>
      </w:r>
    </w:p>
    <w:p w14:paraId="057A9BC9" w14:textId="77777777" w:rsidR="00464CF9" w:rsidRPr="00ED5AD0" w:rsidRDefault="00464CF9" w:rsidP="00D32888">
      <w:pPr>
        <w:numPr>
          <w:ilvl w:val="0"/>
          <w:numId w:val="8"/>
        </w:numPr>
        <w:tabs>
          <w:tab w:val="clear" w:pos="360"/>
          <w:tab w:val="num" w:pos="1080"/>
        </w:tabs>
        <w:ind w:left="1080"/>
        <w:rPr>
          <w:rFonts w:cs="Arial"/>
          <w:szCs w:val="24"/>
        </w:rPr>
      </w:pPr>
      <w:r w:rsidRPr="00ED5AD0">
        <w:rPr>
          <w:rFonts w:cs="Arial"/>
          <w:szCs w:val="24"/>
        </w:rPr>
        <w:t xml:space="preserve">Payment will be made for a specific </w:t>
      </w:r>
      <w:proofErr w:type="gramStart"/>
      <w:r w:rsidRPr="00ED5AD0">
        <w:rPr>
          <w:rFonts w:cs="Arial"/>
          <w:szCs w:val="24"/>
        </w:rPr>
        <w:t>time period</w:t>
      </w:r>
      <w:proofErr w:type="gramEnd"/>
      <w:r w:rsidR="00570C15" w:rsidRPr="00ED5AD0">
        <w:rPr>
          <w:rFonts w:cs="Arial"/>
          <w:szCs w:val="24"/>
        </w:rPr>
        <w:t xml:space="preserve"> (normally up to a maximum of three years initially)</w:t>
      </w:r>
      <w:r w:rsidRPr="00ED5AD0">
        <w:rPr>
          <w:rFonts w:cs="Arial"/>
          <w:szCs w:val="24"/>
        </w:rPr>
        <w:t>.  Where it is determined that the supplements can no longer be justified, employees in receipt of these will be given 12 months</w:t>
      </w:r>
      <w:r w:rsidR="00A25AF3" w:rsidRPr="00ED5AD0">
        <w:rPr>
          <w:rFonts w:cs="Arial"/>
          <w:szCs w:val="24"/>
        </w:rPr>
        <w:t>’</w:t>
      </w:r>
      <w:r w:rsidRPr="00ED5AD0">
        <w:rPr>
          <w:rFonts w:cs="Arial"/>
          <w:szCs w:val="24"/>
        </w:rPr>
        <w:t xml:space="preserve"> notice of withdrawal.  At the end of that </w:t>
      </w:r>
      <w:proofErr w:type="gramStart"/>
      <w:r w:rsidRPr="00ED5AD0">
        <w:rPr>
          <w:rFonts w:cs="Arial"/>
          <w:szCs w:val="24"/>
        </w:rPr>
        <w:t>time</w:t>
      </w:r>
      <w:proofErr w:type="gramEnd"/>
      <w:r w:rsidRPr="00ED5AD0">
        <w:rPr>
          <w:rFonts w:cs="Arial"/>
          <w:szCs w:val="24"/>
        </w:rPr>
        <w:t xml:space="preserve"> they will revert to the substantive salary for their post.</w:t>
      </w:r>
    </w:p>
    <w:p w14:paraId="4BB7126F" w14:textId="77777777" w:rsidR="00464CF9" w:rsidRPr="00ED5AD0" w:rsidRDefault="00464CF9" w:rsidP="00464CF9">
      <w:pPr>
        <w:rPr>
          <w:rFonts w:cs="Arial"/>
          <w:szCs w:val="24"/>
        </w:rPr>
      </w:pPr>
    </w:p>
    <w:p w14:paraId="494B10CE" w14:textId="77777777" w:rsidR="00464CF9" w:rsidRPr="00ED5AD0" w:rsidRDefault="00464CF9" w:rsidP="00D32888">
      <w:pPr>
        <w:pStyle w:val="BodyTextIndent"/>
        <w:numPr>
          <w:ilvl w:val="0"/>
          <w:numId w:val="11"/>
        </w:numPr>
        <w:tabs>
          <w:tab w:val="left" w:pos="426"/>
        </w:tabs>
        <w:spacing w:after="0"/>
        <w:rPr>
          <w:rFonts w:cs="Arial"/>
          <w:szCs w:val="24"/>
        </w:rPr>
      </w:pPr>
      <w:r w:rsidRPr="00ED5AD0">
        <w:rPr>
          <w:rFonts w:cs="Arial"/>
          <w:szCs w:val="24"/>
        </w:rPr>
        <w:t xml:space="preserve">The amount to be awarded will be determined by the evidence gathered to support the need for a market factor supplement that would indicate the appropriate salary levels.  The supplement will be </w:t>
      </w:r>
      <w:proofErr w:type="gramStart"/>
      <w:r w:rsidRPr="00ED5AD0">
        <w:rPr>
          <w:rFonts w:cs="Arial"/>
          <w:szCs w:val="24"/>
        </w:rPr>
        <w:t>a number of</w:t>
      </w:r>
      <w:proofErr w:type="gramEnd"/>
      <w:r w:rsidRPr="00ED5AD0">
        <w:rPr>
          <w:rFonts w:cs="Arial"/>
          <w:szCs w:val="24"/>
        </w:rPr>
        <w:t xml:space="preserve"> increments above the top of the grade, paid on a monthly basis.</w:t>
      </w:r>
    </w:p>
    <w:p w14:paraId="5FD07890" w14:textId="77777777" w:rsidR="00464CF9" w:rsidRPr="00ED5AD0" w:rsidRDefault="00464CF9" w:rsidP="008F6A10">
      <w:pPr>
        <w:pStyle w:val="BodyTextIndent"/>
        <w:ind w:left="0" w:firstLine="45"/>
        <w:rPr>
          <w:rFonts w:cs="Arial"/>
          <w:szCs w:val="24"/>
        </w:rPr>
      </w:pPr>
    </w:p>
    <w:p w14:paraId="5BAE2253" w14:textId="77777777" w:rsidR="00464CF9" w:rsidRPr="00ED5AD0" w:rsidRDefault="00A25AF3" w:rsidP="00D32888">
      <w:pPr>
        <w:pStyle w:val="BodyTextIndent"/>
        <w:numPr>
          <w:ilvl w:val="0"/>
          <w:numId w:val="11"/>
        </w:numPr>
        <w:tabs>
          <w:tab w:val="left" w:pos="426"/>
        </w:tabs>
        <w:spacing w:after="0"/>
        <w:ind w:left="709"/>
        <w:rPr>
          <w:rFonts w:cs="Arial"/>
          <w:szCs w:val="24"/>
        </w:rPr>
      </w:pPr>
      <w:r w:rsidRPr="00ED5AD0">
        <w:rPr>
          <w:rFonts w:cs="Arial"/>
          <w:szCs w:val="24"/>
        </w:rPr>
        <w:t xml:space="preserve">Senior Leadership </w:t>
      </w:r>
      <w:r w:rsidR="00464CF9" w:rsidRPr="00ED5AD0">
        <w:rPr>
          <w:rFonts w:cs="Arial"/>
          <w:szCs w:val="24"/>
        </w:rPr>
        <w:t xml:space="preserve">Team will </w:t>
      </w:r>
      <w:r w:rsidR="00224337" w:rsidRPr="00ED5AD0">
        <w:rPr>
          <w:rFonts w:cs="Arial"/>
          <w:szCs w:val="24"/>
        </w:rPr>
        <w:t xml:space="preserve">determine to which posts a market factor payment will be made and to the value of this payment. </w:t>
      </w:r>
    </w:p>
    <w:p w14:paraId="4267A737" w14:textId="77777777" w:rsidR="003C05E8" w:rsidRPr="00ED5AD0" w:rsidRDefault="003C05E8" w:rsidP="003C05E8">
      <w:pPr>
        <w:pStyle w:val="BodyTextIndent"/>
        <w:tabs>
          <w:tab w:val="left" w:pos="426"/>
        </w:tabs>
        <w:spacing w:after="0"/>
        <w:ind w:left="709"/>
        <w:rPr>
          <w:rFonts w:cs="Arial"/>
          <w:szCs w:val="24"/>
        </w:rPr>
      </w:pPr>
    </w:p>
    <w:p w14:paraId="1D86B363" w14:textId="77777777" w:rsidR="00464CF9" w:rsidRPr="00ED5AD0" w:rsidRDefault="00464CF9" w:rsidP="00D32888">
      <w:pPr>
        <w:pStyle w:val="Heading2"/>
        <w:numPr>
          <w:ilvl w:val="0"/>
          <w:numId w:val="9"/>
        </w:numPr>
        <w:spacing w:before="0" w:after="0"/>
        <w:rPr>
          <w:rFonts w:ascii="Arial" w:hAnsi="Arial" w:cs="Arial"/>
          <w:i w:val="0"/>
          <w:sz w:val="24"/>
          <w:szCs w:val="24"/>
        </w:rPr>
      </w:pPr>
      <w:r w:rsidRPr="00ED5AD0">
        <w:rPr>
          <w:rFonts w:ascii="Arial" w:hAnsi="Arial" w:cs="Arial"/>
          <w:i w:val="0"/>
          <w:sz w:val="24"/>
          <w:szCs w:val="24"/>
        </w:rPr>
        <w:t>Temporary Additional Responsibilities</w:t>
      </w:r>
    </w:p>
    <w:p w14:paraId="539C9E9A" w14:textId="77777777" w:rsidR="00464CF9" w:rsidRPr="00ED5AD0" w:rsidRDefault="00464CF9" w:rsidP="00080E1E">
      <w:pPr>
        <w:pStyle w:val="Heading2"/>
        <w:spacing w:before="0" w:after="0"/>
        <w:rPr>
          <w:rFonts w:ascii="Arial" w:hAnsi="Arial" w:cs="Arial"/>
          <w:b w:val="0"/>
          <w:i w:val="0"/>
          <w:sz w:val="24"/>
          <w:szCs w:val="24"/>
        </w:rPr>
      </w:pPr>
      <w:r w:rsidRPr="00ED5AD0">
        <w:rPr>
          <w:rFonts w:ascii="Arial" w:hAnsi="Arial" w:cs="Arial"/>
          <w:b w:val="0"/>
          <w:i w:val="0"/>
          <w:sz w:val="24"/>
          <w:szCs w:val="24"/>
        </w:rPr>
        <w:t xml:space="preserve">In some </w:t>
      </w:r>
      <w:proofErr w:type="gramStart"/>
      <w:r w:rsidRPr="00ED5AD0">
        <w:rPr>
          <w:rFonts w:ascii="Arial" w:hAnsi="Arial" w:cs="Arial"/>
          <w:b w:val="0"/>
          <w:i w:val="0"/>
          <w:sz w:val="24"/>
          <w:szCs w:val="24"/>
        </w:rPr>
        <w:t>situations</w:t>
      </w:r>
      <w:proofErr w:type="gramEnd"/>
      <w:r w:rsidRPr="00ED5AD0">
        <w:rPr>
          <w:rFonts w:ascii="Arial" w:hAnsi="Arial" w:cs="Arial"/>
          <w:b w:val="0"/>
          <w:i w:val="0"/>
          <w:sz w:val="24"/>
          <w:szCs w:val="24"/>
        </w:rPr>
        <w:t xml:space="preserve"> employees may carry out a different role from their substantive job.  Where such situations occur, the employee will receive the appropriate rate for carrying out these duties for the period they do so.  For all other occasions they will be remunerated at the rate for the job undertaken.</w:t>
      </w:r>
    </w:p>
    <w:p w14:paraId="3A7D5848" w14:textId="77777777" w:rsidR="00464CF9" w:rsidRPr="00ED5AD0" w:rsidRDefault="00464CF9" w:rsidP="00464CF9">
      <w:pPr>
        <w:pStyle w:val="Heading2"/>
        <w:rPr>
          <w:rFonts w:ascii="Arial" w:hAnsi="Arial" w:cs="Arial"/>
          <w:i w:val="0"/>
          <w:sz w:val="24"/>
          <w:szCs w:val="24"/>
        </w:rPr>
      </w:pPr>
    </w:p>
    <w:p w14:paraId="75B08FEE" w14:textId="77777777" w:rsidR="003C05E8" w:rsidRPr="00ED5AD0" w:rsidRDefault="003C05E8" w:rsidP="003C05E8"/>
    <w:p w14:paraId="118E8C22" w14:textId="77777777" w:rsidR="003C05E8" w:rsidRPr="00ED5AD0" w:rsidRDefault="003C05E8" w:rsidP="003C05E8"/>
    <w:p w14:paraId="24A2B2C5" w14:textId="77777777" w:rsidR="003C05E8" w:rsidRPr="00ED5AD0" w:rsidRDefault="003C05E8" w:rsidP="003C05E8"/>
    <w:p w14:paraId="10B0EECF" w14:textId="77777777" w:rsidR="003C05E8" w:rsidRPr="00ED5AD0" w:rsidRDefault="003C05E8" w:rsidP="003C05E8"/>
    <w:tbl>
      <w:tblPr>
        <w:tblW w:w="8106" w:type="dxa"/>
        <w:tblLayout w:type="fixed"/>
        <w:tblCellMar>
          <w:left w:w="54" w:type="dxa"/>
          <w:right w:w="54" w:type="dxa"/>
        </w:tblCellMar>
        <w:tblLook w:val="0000" w:firstRow="0" w:lastRow="0" w:firstColumn="0" w:lastColumn="0" w:noHBand="0" w:noVBand="0"/>
      </w:tblPr>
      <w:tblGrid>
        <w:gridCol w:w="1436"/>
        <w:gridCol w:w="1436"/>
        <w:gridCol w:w="421"/>
        <w:gridCol w:w="1436"/>
        <w:gridCol w:w="1438"/>
        <w:gridCol w:w="1771"/>
        <w:gridCol w:w="168"/>
      </w:tblGrid>
      <w:tr w:rsidR="00F247C8" w:rsidRPr="00ED5AD0" w14:paraId="6BA0EC5A" w14:textId="77777777" w:rsidTr="00EF3710">
        <w:trPr>
          <w:cantSplit/>
          <w:trHeight w:val="262"/>
        </w:trPr>
        <w:tc>
          <w:tcPr>
            <w:tcW w:w="6167" w:type="dxa"/>
            <w:gridSpan w:val="5"/>
          </w:tcPr>
          <w:p w14:paraId="6EC63A5C" w14:textId="60483B0D" w:rsidR="00F247C8" w:rsidRPr="00ED5AD0" w:rsidRDefault="00F247C8" w:rsidP="00D32888">
            <w:pPr>
              <w:widowControl w:val="0"/>
              <w:numPr>
                <w:ilvl w:val="0"/>
                <w:numId w:val="9"/>
              </w:numPr>
              <w:jc w:val="both"/>
              <w:rPr>
                <w:rFonts w:cs="Arial"/>
                <w:b/>
                <w:snapToGrid w:val="0"/>
                <w:szCs w:val="24"/>
              </w:rPr>
            </w:pPr>
            <w:r w:rsidRPr="00ED5AD0">
              <w:rPr>
                <w:rFonts w:cs="Arial"/>
                <w:b/>
                <w:snapToGrid w:val="0"/>
                <w:szCs w:val="24"/>
              </w:rPr>
              <w:lastRenderedPageBreak/>
              <w:t>Revised grading structure</w:t>
            </w:r>
            <w:r w:rsidR="0076359F" w:rsidRPr="00ED5AD0">
              <w:rPr>
                <w:rFonts w:cs="Arial"/>
                <w:b/>
                <w:snapToGrid w:val="0"/>
                <w:szCs w:val="24"/>
              </w:rPr>
              <w:t xml:space="preserve"> </w:t>
            </w:r>
            <w:r w:rsidR="0076359F" w:rsidRPr="00ED5AD0">
              <w:rPr>
                <w:rFonts w:cs="Arial"/>
                <w:snapToGrid w:val="0"/>
                <w:szCs w:val="24"/>
              </w:rPr>
              <w:t xml:space="preserve">(updated </w:t>
            </w:r>
            <w:r w:rsidR="00061434" w:rsidRPr="00ED5AD0">
              <w:rPr>
                <w:rFonts w:cs="Arial"/>
                <w:snapToGrid w:val="0"/>
                <w:szCs w:val="24"/>
              </w:rPr>
              <w:t>for</w:t>
            </w:r>
            <w:r w:rsidR="003C766C" w:rsidRPr="00ED5AD0">
              <w:rPr>
                <w:rFonts w:cs="Arial"/>
                <w:snapToGrid w:val="0"/>
                <w:szCs w:val="24"/>
              </w:rPr>
              <w:t xml:space="preserve"> </w:t>
            </w:r>
            <w:r w:rsidR="00224337" w:rsidRPr="00ED5AD0">
              <w:rPr>
                <w:rFonts w:cs="Arial"/>
                <w:snapToGrid w:val="0"/>
                <w:szCs w:val="24"/>
              </w:rPr>
              <w:t>April 2016</w:t>
            </w:r>
            <w:r w:rsidR="0076359F" w:rsidRPr="00ED5AD0">
              <w:rPr>
                <w:rFonts w:cs="Arial"/>
                <w:snapToGrid w:val="0"/>
                <w:szCs w:val="24"/>
              </w:rPr>
              <w:t xml:space="preserve"> following implementation of </w:t>
            </w:r>
            <w:r w:rsidR="00224337" w:rsidRPr="00ED5AD0">
              <w:rPr>
                <w:rFonts w:cs="Arial"/>
                <w:snapToGrid w:val="0"/>
                <w:szCs w:val="24"/>
              </w:rPr>
              <w:t>local pay changes</w:t>
            </w:r>
            <w:r w:rsidR="00061434" w:rsidRPr="00ED5AD0">
              <w:rPr>
                <w:rFonts w:cs="Arial"/>
                <w:snapToGrid w:val="0"/>
                <w:szCs w:val="24"/>
              </w:rPr>
              <w:t xml:space="preserve"> and April 2019 to reflect changes to national spinal column point numbering</w:t>
            </w:r>
            <w:r w:rsidR="00224337" w:rsidRPr="00ED5AD0">
              <w:rPr>
                <w:rFonts w:cs="Arial"/>
                <w:snapToGrid w:val="0"/>
                <w:szCs w:val="24"/>
              </w:rPr>
              <w:t>)</w:t>
            </w:r>
            <w:r w:rsidR="00EF3710" w:rsidRPr="00ED5AD0">
              <w:rPr>
                <w:rFonts w:cs="Arial"/>
                <w:b/>
                <w:snapToGrid w:val="0"/>
                <w:szCs w:val="24"/>
              </w:rPr>
              <w:t xml:space="preserve">. </w:t>
            </w:r>
            <w:r w:rsidR="00EF3710" w:rsidRPr="00ED5AD0">
              <w:rPr>
                <w:rFonts w:cs="Arial"/>
                <w:bCs/>
                <w:snapToGrid w:val="0"/>
                <w:szCs w:val="24"/>
              </w:rPr>
              <w:t>SCP  5 in Band 3 is the lowest pay point (excluding training posts)</w:t>
            </w:r>
          </w:p>
        </w:tc>
        <w:tc>
          <w:tcPr>
            <w:tcW w:w="1771" w:type="dxa"/>
          </w:tcPr>
          <w:p w14:paraId="45B9E058" w14:textId="77777777" w:rsidR="00F247C8" w:rsidRPr="00ED5AD0" w:rsidRDefault="00F247C8" w:rsidP="008F6A10">
            <w:pPr>
              <w:widowControl w:val="0"/>
              <w:rPr>
                <w:rFonts w:cs="Arial"/>
                <w:b/>
                <w:snapToGrid w:val="0"/>
                <w:szCs w:val="24"/>
              </w:rPr>
            </w:pPr>
          </w:p>
        </w:tc>
        <w:tc>
          <w:tcPr>
            <w:tcW w:w="168" w:type="dxa"/>
          </w:tcPr>
          <w:p w14:paraId="06E072CE" w14:textId="77777777" w:rsidR="00F247C8" w:rsidRPr="00ED5AD0" w:rsidRDefault="00F247C8" w:rsidP="008F6A10">
            <w:pPr>
              <w:widowControl w:val="0"/>
              <w:rPr>
                <w:rFonts w:cs="Arial"/>
                <w:b/>
                <w:snapToGrid w:val="0"/>
                <w:szCs w:val="24"/>
              </w:rPr>
            </w:pPr>
          </w:p>
        </w:tc>
      </w:tr>
      <w:tr w:rsidR="00F247C8" w:rsidRPr="00ED5AD0" w14:paraId="10C67FF5" w14:textId="77777777" w:rsidTr="00EF3710">
        <w:trPr>
          <w:trHeight w:val="224"/>
        </w:trPr>
        <w:tc>
          <w:tcPr>
            <w:tcW w:w="1436" w:type="dxa"/>
          </w:tcPr>
          <w:p w14:paraId="17981649" w14:textId="77777777" w:rsidR="00F247C8" w:rsidRPr="00ED5AD0" w:rsidRDefault="00F247C8" w:rsidP="008F6A10">
            <w:pPr>
              <w:widowControl w:val="0"/>
              <w:rPr>
                <w:rFonts w:cs="Arial"/>
                <w:snapToGrid w:val="0"/>
                <w:szCs w:val="24"/>
              </w:rPr>
            </w:pPr>
          </w:p>
        </w:tc>
        <w:tc>
          <w:tcPr>
            <w:tcW w:w="1436" w:type="dxa"/>
          </w:tcPr>
          <w:p w14:paraId="409B9D0D" w14:textId="77777777" w:rsidR="00F247C8" w:rsidRPr="00ED5AD0" w:rsidRDefault="00F247C8" w:rsidP="008F6A10">
            <w:pPr>
              <w:widowControl w:val="0"/>
              <w:rPr>
                <w:rFonts w:cs="Arial"/>
                <w:snapToGrid w:val="0"/>
                <w:szCs w:val="24"/>
              </w:rPr>
            </w:pPr>
          </w:p>
        </w:tc>
        <w:tc>
          <w:tcPr>
            <w:tcW w:w="421" w:type="dxa"/>
          </w:tcPr>
          <w:p w14:paraId="2CE4CDD8" w14:textId="77777777" w:rsidR="00F247C8" w:rsidRPr="00ED5AD0" w:rsidRDefault="00F247C8" w:rsidP="008F6A10">
            <w:pPr>
              <w:widowControl w:val="0"/>
              <w:rPr>
                <w:rFonts w:cs="Arial"/>
                <w:snapToGrid w:val="0"/>
                <w:szCs w:val="24"/>
              </w:rPr>
            </w:pPr>
          </w:p>
        </w:tc>
        <w:tc>
          <w:tcPr>
            <w:tcW w:w="1436" w:type="dxa"/>
          </w:tcPr>
          <w:p w14:paraId="60B9B44E" w14:textId="77777777" w:rsidR="00F247C8" w:rsidRPr="00ED5AD0" w:rsidRDefault="00F247C8" w:rsidP="008F6A10">
            <w:pPr>
              <w:widowControl w:val="0"/>
              <w:rPr>
                <w:rFonts w:cs="Arial"/>
                <w:snapToGrid w:val="0"/>
                <w:szCs w:val="24"/>
              </w:rPr>
            </w:pPr>
          </w:p>
        </w:tc>
        <w:tc>
          <w:tcPr>
            <w:tcW w:w="1438" w:type="dxa"/>
          </w:tcPr>
          <w:p w14:paraId="4F46F033" w14:textId="77777777" w:rsidR="00F247C8" w:rsidRPr="00ED5AD0" w:rsidRDefault="00F247C8" w:rsidP="008F6A10">
            <w:pPr>
              <w:widowControl w:val="0"/>
              <w:rPr>
                <w:rFonts w:cs="Arial"/>
                <w:snapToGrid w:val="0"/>
                <w:szCs w:val="24"/>
              </w:rPr>
            </w:pPr>
          </w:p>
        </w:tc>
        <w:tc>
          <w:tcPr>
            <w:tcW w:w="1771" w:type="dxa"/>
          </w:tcPr>
          <w:p w14:paraId="6F79A286" w14:textId="77777777" w:rsidR="00F247C8" w:rsidRPr="00ED5AD0" w:rsidRDefault="00F247C8" w:rsidP="008F6A10">
            <w:pPr>
              <w:widowControl w:val="0"/>
              <w:rPr>
                <w:rFonts w:cs="Arial"/>
                <w:snapToGrid w:val="0"/>
                <w:szCs w:val="24"/>
              </w:rPr>
            </w:pPr>
          </w:p>
        </w:tc>
        <w:tc>
          <w:tcPr>
            <w:tcW w:w="168" w:type="dxa"/>
          </w:tcPr>
          <w:p w14:paraId="285CF241" w14:textId="77777777" w:rsidR="00F247C8" w:rsidRPr="00ED5AD0" w:rsidRDefault="00F247C8" w:rsidP="008F6A10">
            <w:pPr>
              <w:widowControl w:val="0"/>
              <w:rPr>
                <w:rFonts w:cs="Arial"/>
                <w:snapToGrid w:val="0"/>
                <w:szCs w:val="24"/>
              </w:rPr>
            </w:pPr>
          </w:p>
        </w:tc>
      </w:tr>
      <w:tr w:rsidR="00F247C8" w:rsidRPr="00ED5AD0" w14:paraId="7ABDCE12" w14:textId="77777777" w:rsidTr="00EF3710">
        <w:trPr>
          <w:trHeight w:val="237"/>
        </w:trPr>
        <w:tc>
          <w:tcPr>
            <w:tcW w:w="1436" w:type="dxa"/>
          </w:tcPr>
          <w:p w14:paraId="2A279367" w14:textId="77777777" w:rsidR="00F247C8" w:rsidRPr="00ED5AD0" w:rsidRDefault="00F247C8" w:rsidP="008F6A10">
            <w:pPr>
              <w:widowControl w:val="0"/>
              <w:rPr>
                <w:rFonts w:cs="Arial"/>
                <w:snapToGrid w:val="0"/>
                <w:szCs w:val="24"/>
              </w:rPr>
            </w:pPr>
          </w:p>
        </w:tc>
        <w:tc>
          <w:tcPr>
            <w:tcW w:w="1436" w:type="dxa"/>
          </w:tcPr>
          <w:p w14:paraId="4B4E8F23" w14:textId="77777777" w:rsidR="00F247C8" w:rsidRPr="00ED5AD0" w:rsidRDefault="00F247C8" w:rsidP="008F6A10">
            <w:pPr>
              <w:widowControl w:val="0"/>
              <w:rPr>
                <w:rFonts w:cs="Arial"/>
                <w:snapToGrid w:val="0"/>
                <w:szCs w:val="24"/>
              </w:rPr>
            </w:pPr>
          </w:p>
        </w:tc>
        <w:tc>
          <w:tcPr>
            <w:tcW w:w="421" w:type="dxa"/>
          </w:tcPr>
          <w:p w14:paraId="1FD61ED0" w14:textId="77777777" w:rsidR="00F247C8" w:rsidRPr="00ED5AD0" w:rsidRDefault="00F247C8" w:rsidP="008F6A10">
            <w:pPr>
              <w:widowControl w:val="0"/>
              <w:rPr>
                <w:rFonts w:cs="Arial"/>
                <w:snapToGrid w:val="0"/>
                <w:szCs w:val="24"/>
              </w:rPr>
            </w:pPr>
          </w:p>
        </w:tc>
        <w:tc>
          <w:tcPr>
            <w:tcW w:w="1436" w:type="dxa"/>
          </w:tcPr>
          <w:p w14:paraId="7468D705" w14:textId="77777777" w:rsidR="00F247C8" w:rsidRPr="00ED5AD0" w:rsidRDefault="00F247C8" w:rsidP="008F6A10">
            <w:pPr>
              <w:widowControl w:val="0"/>
              <w:rPr>
                <w:rFonts w:cs="Arial"/>
                <w:snapToGrid w:val="0"/>
                <w:szCs w:val="24"/>
              </w:rPr>
            </w:pPr>
          </w:p>
        </w:tc>
        <w:tc>
          <w:tcPr>
            <w:tcW w:w="1438" w:type="dxa"/>
          </w:tcPr>
          <w:p w14:paraId="750DC343" w14:textId="77777777" w:rsidR="00F247C8" w:rsidRPr="00ED5AD0" w:rsidRDefault="00F247C8" w:rsidP="008F6A10">
            <w:pPr>
              <w:widowControl w:val="0"/>
              <w:rPr>
                <w:rFonts w:cs="Arial"/>
                <w:snapToGrid w:val="0"/>
                <w:szCs w:val="24"/>
              </w:rPr>
            </w:pPr>
          </w:p>
        </w:tc>
        <w:tc>
          <w:tcPr>
            <w:tcW w:w="1771" w:type="dxa"/>
          </w:tcPr>
          <w:p w14:paraId="2C08E9A3" w14:textId="77777777" w:rsidR="00F247C8" w:rsidRPr="00ED5AD0" w:rsidRDefault="00F247C8" w:rsidP="008F6A10">
            <w:pPr>
              <w:widowControl w:val="0"/>
              <w:rPr>
                <w:rFonts w:cs="Arial"/>
                <w:snapToGrid w:val="0"/>
                <w:szCs w:val="24"/>
              </w:rPr>
            </w:pPr>
          </w:p>
        </w:tc>
        <w:tc>
          <w:tcPr>
            <w:tcW w:w="168" w:type="dxa"/>
          </w:tcPr>
          <w:p w14:paraId="6CF7D546" w14:textId="77777777" w:rsidR="00F247C8" w:rsidRPr="00ED5AD0" w:rsidRDefault="00F247C8" w:rsidP="008F6A10">
            <w:pPr>
              <w:widowControl w:val="0"/>
              <w:rPr>
                <w:rFonts w:cs="Arial"/>
                <w:snapToGrid w:val="0"/>
                <w:szCs w:val="24"/>
              </w:rPr>
            </w:pPr>
          </w:p>
        </w:tc>
      </w:tr>
      <w:tr w:rsidR="00D67126" w:rsidRPr="00ED5AD0" w14:paraId="7B971CEE" w14:textId="77777777" w:rsidTr="00EF3710">
        <w:trPr>
          <w:trHeight w:val="685"/>
        </w:trPr>
        <w:tc>
          <w:tcPr>
            <w:tcW w:w="1436" w:type="dxa"/>
            <w:tcBorders>
              <w:top w:val="single" w:sz="6" w:space="0" w:color="auto"/>
              <w:left w:val="single" w:sz="6" w:space="0" w:color="auto"/>
            </w:tcBorders>
          </w:tcPr>
          <w:p w14:paraId="5E977B41" w14:textId="77777777" w:rsidR="00D67126" w:rsidRPr="00ED5AD0" w:rsidRDefault="00D67126" w:rsidP="00224337">
            <w:pPr>
              <w:widowControl w:val="0"/>
              <w:jc w:val="center"/>
              <w:rPr>
                <w:rFonts w:cs="Arial"/>
                <w:b/>
                <w:snapToGrid w:val="0"/>
                <w:szCs w:val="24"/>
              </w:rPr>
            </w:pPr>
            <w:r w:rsidRPr="00ED5AD0">
              <w:rPr>
                <w:rFonts w:cs="Arial"/>
                <w:b/>
                <w:snapToGrid w:val="0"/>
                <w:szCs w:val="24"/>
              </w:rPr>
              <w:t>Evaluated points for job</w:t>
            </w:r>
          </w:p>
        </w:tc>
        <w:tc>
          <w:tcPr>
            <w:tcW w:w="1436" w:type="dxa"/>
            <w:tcBorders>
              <w:top w:val="single" w:sz="6" w:space="0" w:color="auto"/>
              <w:right w:val="single" w:sz="6" w:space="0" w:color="auto"/>
            </w:tcBorders>
          </w:tcPr>
          <w:p w14:paraId="74604A0C" w14:textId="77777777" w:rsidR="00D67126" w:rsidRPr="00ED5AD0" w:rsidRDefault="00D67126" w:rsidP="00224337">
            <w:pPr>
              <w:widowControl w:val="0"/>
              <w:jc w:val="center"/>
              <w:rPr>
                <w:rFonts w:cs="Arial"/>
                <w:b/>
                <w:snapToGrid w:val="0"/>
                <w:szCs w:val="24"/>
              </w:rPr>
            </w:pPr>
          </w:p>
        </w:tc>
        <w:tc>
          <w:tcPr>
            <w:tcW w:w="421" w:type="dxa"/>
            <w:tcBorders>
              <w:top w:val="single" w:sz="6" w:space="0" w:color="auto"/>
              <w:left w:val="single" w:sz="6" w:space="0" w:color="auto"/>
            </w:tcBorders>
          </w:tcPr>
          <w:p w14:paraId="2D059B9B" w14:textId="77777777" w:rsidR="00D67126" w:rsidRPr="00ED5AD0" w:rsidRDefault="00D67126" w:rsidP="00224337">
            <w:pPr>
              <w:widowControl w:val="0"/>
              <w:jc w:val="center"/>
              <w:rPr>
                <w:rFonts w:cs="Arial"/>
                <w:b/>
                <w:snapToGrid w:val="0"/>
                <w:szCs w:val="24"/>
              </w:rPr>
            </w:pPr>
          </w:p>
        </w:tc>
        <w:tc>
          <w:tcPr>
            <w:tcW w:w="1436" w:type="dxa"/>
            <w:tcBorders>
              <w:top w:val="single" w:sz="6" w:space="0" w:color="auto"/>
              <w:right w:val="single" w:sz="6" w:space="0" w:color="auto"/>
            </w:tcBorders>
          </w:tcPr>
          <w:p w14:paraId="4B2F5CDA" w14:textId="77777777" w:rsidR="00D67126" w:rsidRPr="00ED5AD0" w:rsidRDefault="00D67126" w:rsidP="00224337">
            <w:pPr>
              <w:widowControl w:val="0"/>
              <w:ind w:left="-174"/>
              <w:jc w:val="center"/>
              <w:rPr>
                <w:rFonts w:cs="Arial"/>
                <w:b/>
                <w:snapToGrid w:val="0"/>
                <w:szCs w:val="24"/>
              </w:rPr>
            </w:pPr>
            <w:r w:rsidRPr="00ED5AD0">
              <w:rPr>
                <w:rFonts w:cs="Arial"/>
                <w:b/>
                <w:snapToGrid w:val="0"/>
                <w:szCs w:val="24"/>
              </w:rPr>
              <w:t>New grade</w:t>
            </w:r>
          </w:p>
        </w:tc>
        <w:tc>
          <w:tcPr>
            <w:tcW w:w="3209" w:type="dxa"/>
            <w:gridSpan w:val="2"/>
            <w:vMerge w:val="restart"/>
            <w:tcBorders>
              <w:top w:val="single" w:sz="6" w:space="0" w:color="auto"/>
              <w:left w:val="single" w:sz="6" w:space="0" w:color="auto"/>
              <w:right w:val="single" w:sz="6" w:space="0" w:color="auto"/>
            </w:tcBorders>
          </w:tcPr>
          <w:p w14:paraId="730A0556" w14:textId="77777777" w:rsidR="00D67126" w:rsidRPr="00ED5AD0" w:rsidRDefault="00D67126" w:rsidP="008F6A10">
            <w:pPr>
              <w:widowControl w:val="0"/>
              <w:rPr>
                <w:rFonts w:cs="Arial"/>
                <w:b/>
                <w:snapToGrid w:val="0"/>
                <w:szCs w:val="24"/>
              </w:rPr>
            </w:pPr>
            <w:r w:rsidRPr="00ED5AD0">
              <w:rPr>
                <w:rFonts w:cs="Arial"/>
                <w:b/>
                <w:snapToGrid w:val="0"/>
                <w:szCs w:val="24"/>
              </w:rPr>
              <w:t>National Spinal Column</w:t>
            </w:r>
          </w:p>
          <w:p w14:paraId="627BB4E4" w14:textId="77777777" w:rsidR="00D67126" w:rsidRPr="00ED5AD0" w:rsidRDefault="00D67126" w:rsidP="00D67126">
            <w:pPr>
              <w:widowControl w:val="0"/>
              <w:rPr>
                <w:rFonts w:cs="Arial"/>
                <w:b/>
                <w:snapToGrid w:val="0"/>
                <w:szCs w:val="24"/>
              </w:rPr>
            </w:pPr>
            <w:r w:rsidRPr="00ED5AD0">
              <w:rPr>
                <w:rFonts w:cs="Arial"/>
                <w:b/>
                <w:snapToGrid w:val="0"/>
                <w:szCs w:val="24"/>
              </w:rPr>
              <w:t xml:space="preserve">Points in grade </w:t>
            </w:r>
          </w:p>
          <w:p w14:paraId="3ED78A63" w14:textId="77777777" w:rsidR="00D67126" w:rsidRPr="00ED5AD0" w:rsidRDefault="00D67126" w:rsidP="00D67126">
            <w:pPr>
              <w:widowControl w:val="0"/>
              <w:rPr>
                <w:rFonts w:cs="Arial"/>
                <w:b/>
                <w:snapToGrid w:val="0"/>
                <w:szCs w:val="24"/>
              </w:rPr>
            </w:pPr>
            <w:r w:rsidRPr="00ED5AD0">
              <w:rPr>
                <w:rFonts w:cs="Arial"/>
                <w:b/>
                <w:snapToGrid w:val="0"/>
                <w:szCs w:val="24"/>
              </w:rPr>
              <w:t>Revised April 2019</w:t>
            </w:r>
          </w:p>
        </w:tc>
        <w:tc>
          <w:tcPr>
            <w:tcW w:w="168" w:type="dxa"/>
          </w:tcPr>
          <w:p w14:paraId="6DE4BF98" w14:textId="77777777" w:rsidR="00D67126" w:rsidRPr="00ED5AD0" w:rsidRDefault="00D67126" w:rsidP="008F6A10">
            <w:pPr>
              <w:widowControl w:val="0"/>
              <w:rPr>
                <w:rFonts w:cs="Arial"/>
                <w:b/>
                <w:snapToGrid w:val="0"/>
                <w:szCs w:val="24"/>
              </w:rPr>
            </w:pPr>
          </w:p>
        </w:tc>
      </w:tr>
      <w:tr w:rsidR="00D67126" w:rsidRPr="00ED5AD0" w14:paraId="05111452" w14:textId="77777777" w:rsidTr="00EF3710">
        <w:trPr>
          <w:trHeight w:val="685"/>
        </w:trPr>
        <w:tc>
          <w:tcPr>
            <w:tcW w:w="1436" w:type="dxa"/>
            <w:tcBorders>
              <w:left w:val="single" w:sz="6" w:space="0" w:color="auto"/>
              <w:bottom w:val="single" w:sz="6" w:space="0" w:color="auto"/>
            </w:tcBorders>
          </w:tcPr>
          <w:p w14:paraId="6F3DDA42" w14:textId="77777777" w:rsidR="00D67126" w:rsidRPr="00ED5AD0" w:rsidRDefault="00D67126" w:rsidP="00224337">
            <w:pPr>
              <w:widowControl w:val="0"/>
              <w:jc w:val="center"/>
              <w:rPr>
                <w:rFonts w:cs="Arial"/>
                <w:b/>
                <w:snapToGrid w:val="0"/>
                <w:szCs w:val="24"/>
              </w:rPr>
            </w:pPr>
          </w:p>
        </w:tc>
        <w:tc>
          <w:tcPr>
            <w:tcW w:w="1436" w:type="dxa"/>
            <w:tcBorders>
              <w:bottom w:val="single" w:sz="6" w:space="0" w:color="auto"/>
              <w:right w:val="single" w:sz="6" w:space="0" w:color="auto"/>
            </w:tcBorders>
          </w:tcPr>
          <w:p w14:paraId="32EB034C" w14:textId="77777777" w:rsidR="00D67126" w:rsidRPr="00ED5AD0" w:rsidRDefault="00D67126" w:rsidP="00224337">
            <w:pPr>
              <w:widowControl w:val="0"/>
              <w:jc w:val="center"/>
              <w:rPr>
                <w:rFonts w:cs="Arial"/>
                <w:b/>
                <w:snapToGrid w:val="0"/>
                <w:szCs w:val="24"/>
              </w:rPr>
            </w:pPr>
          </w:p>
        </w:tc>
        <w:tc>
          <w:tcPr>
            <w:tcW w:w="421" w:type="dxa"/>
            <w:tcBorders>
              <w:left w:val="single" w:sz="6" w:space="0" w:color="auto"/>
              <w:bottom w:val="single" w:sz="6" w:space="0" w:color="auto"/>
            </w:tcBorders>
          </w:tcPr>
          <w:p w14:paraId="7CEA550B" w14:textId="77777777" w:rsidR="00D67126" w:rsidRPr="00ED5AD0" w:rsidRDefault="00D67126" w:rsidP="00224337">
            <w:pPr>
              <w:widowControl w:val="0"/>
              <w:jc w:val="center"/>
              <w:rPr>
                <w:rFonts w:cs="Arial"/>
                <w:b/>
                <w:snapToGrid w:val="0"/>
                <w:szCs w:val="24"/>
              </w:rPr>
            </w:pPr>
          </w:p>
        </w:tc>
        <w:tc>
          <w:tcPr>
            <w:tcW w:w="1436" w:type="dxa"/>
            <w:tcBorders>
              <w:bottom w:val="single" w:sz="6" w:space="0" w:color="auto"/>
              <w:right w:val="single" w:sz="6" w:space="0" w:color="auto"/>
            </w:tcBorders>
          </w:tcPr>
          <w:p w14:paraId="44CD906A" w14:textId="77777777" w:rsidR="00D67126" w:rsidRPr="00ED5AD0" w:rsidRDefault="00D67126" w:rsidP="00224337">
            <w:pPr>
              <w:widowControl w:val="0"/>
              <w:jc w:val="center"/>
              <w:rPr>
                <w:rFonts w:cs="Arial"/>
                <w:b/>
                <w:snapToGrid w:val="0"/>
                <w:szCs w:val="24"/>
              </w:rPr>
            </w:pPr>
          </w:p>
        </w:tc>
        <w:tc>
          <w:tcPr>
            <w:tcW w:w="3209" w:type="dxa"/>
            <w:gridSpan w:val="2"/>
            <w:vMerge/>
            <w:tcBorders>
              <w:left w:val="single" w:sz="6" w:space="0" w:color="auto"/>
              <w:bottom w:val="single" w:sz="6" w:space="0" w:color="auto"/>
              <w:right w:val="single" w:sz="6" w:space="0" w:color="auto"/>
            </w:tcBorders>
          </w:tcPr>
          <w:p w14:paraId="1D2A1172" w14:textId="77777777" w:rsidR="00D67126" w:rsidRPr="00ED5AD0" w:rsidRDefault="00D67126" w:rsidP="008F6A10">
            <w:pPr>
              <w:widowControl w:val="0"/>
              <w:rPr>
                <w:rFonts w:cs="Arial"/>
                <w:b/>
                <w:snapToGrid w:val="0"/>
                <w:szCs w:val="24"/>
              </w:rPr>
            </w:pPr>
          </w:p>
        </w:tc>
        <w:tc>
          <w:tcPr>
            <w:tcW w:w="168" w:type="dxa"/>
          </w:tcPr>
          <w:p w14:paraId="71EBFB35" w14:textId="77777777" w:rsidR="00D67126" w:rsidRPr="00ED5AD0" w:rsidRDefault="00D67126" w:rsidP="008F6A10">
            <w:pPr>
              <w:widowControl w:val="0"/>
              <w:rPr>
                <w:rFonts w:cs="Arial"/>
                <w:b/>
                <w:snapToGrid w:val="0"/>
                <w:szCs w:val="24"/>
              </w:rPr>
            </w:pPr>
          </w:p>
        </w:tc>
      </w:tr>
      <w:tr w:rsidR="00F247C8" w:rsidRPr="00ED5AD0" w14:paraId="652627AE" w14:textId="77777777" w:rsidTr="00EF3710">
        <w:trPr>
          <w:trHeight w:val="224"/>
        </w:trPr>
        <w:tc>
          <w:tcPr>
            <w:tcW w:w="1436" w:type="dxa"/>
            <w:tcBorders>
              <w:top w:val="single" w:sz="6" w:space="0" w:color="auto"/>
              <w:left w:val="single" w:sz="6" w:space="0" w:color="auto"/>
              <w:bottom w:val="single" w:sz="6" w:space="0" w:color="auto"/>
              <w:right w:val="single" w:sz="6" w:space="0" w:color="auto"/>
            </w:tcBorders>
          </w:tcPr>
          <w:p w14:paraId="7B454F33" w14:textId="77777777" w:rsidR="00F247C8" w:rsidRPr="00ED5AD0" w:rsidRDefault="00F247C8" w:rsidP="008F6A10">
            <w:pPr>
              <w:widowControl w:val="0"/>
              <w:jc w:val="center"/>
              <w:rPr>
                <w:rFonts w:cs="Arial"/>
                <w:snapToGrid w:val="0"/>
                <w:szCs w:val="24"/>
              </w:rPr>
            </w:pPr>
            <w:r w:rsidRPr="00ED5AD0">
              <w:rPr>
                <w:rFonts w:cs="Arial"/>
                <w:snapToGrid w:val="0"/>
                <w:szCs w:val="24"/>
              </w:rPr>
              <w:t>From</w:t>
            </w:r>
          </w:p>
        </w:tc>
        <w:tc>
          <w:tcPr>
            <w:tcW w:w="1436" w:type="dxa"/>
            <w:tcBorders>
              <w:top w:val="single" w:sz="6" w:space="0" w:color="auto"/>
              <w:left w:val="single" w:sz="6" w:space="0" w:color="auto"/>
              <w:bottom w:val="single" w:sz="6" w:space="0" w:color="auto"/>
              <w:right w:val="single" w:sz="6" w:space="0" w:color="auto"/>
            </w:tcBorders>
          </w:tcPr>
          <w:p w14:paraId="2CFC4752" w14:textId="77777777" w:rsidR="00F247C8" w:rsidRPr="00ED5AD0" w:rsidRDefault="00F247C8" w:rsidP="008F6A10">
            <w:pPr>
              <w:widowControl w:val="0"/>
              <w:jc w:val="center"/>
              <w:rPr>
                <w:rFonts w:cs="Arial"/>
                <w:snapToGrid w:val="0"/>
                <w:szCs w:val="24"/>
              </w:rPr>
            </w:pPr>
            <w:r w:rsidRPr="00ED5AD0">
              <w:rPr>
                <w:rFonts w:cs="Arial"/>
                <w:snapToGrid w:val="0"/>
                <w:szCs w:val="24"/>
              </w:rPr>
              <w:t>To</w:t>
            </w:r>
          </w:p>
        </w:tc>
        <w:tc>
          <w:tcPr>
            <w:tcW w:w="421" w:type="dxa"/>
            <w:tcBorders>
              <w:top w:val="single" w:sz="6" w:space="0" w:color="auto"/>
              <w:left w:val="single" w:sz="6" w:space="0" w:color="auto"/>
              <w:bottom w:val="single" w:sz="6" w:space="0" w:color="auto"/>
            </w:tcBorders>
          </w:tcPr>
          <w:p w14:paraId="6548EEED" w14:textId="77777777" w:rsidR="00F247C8" w:rsidRPr="00ED5AD0" w:rsidRDefault="00F247C8" w:rsidP="008F6A10">
            <w:pPr>
              <w:widowControl w:val="0"/>
              <w:jc w:val="center"/>
              <w:rPr>
                <w:rFonts w:cs="Arial"/>
                <w:snapToGrid w:val="0"/>
                <w:szCs w:val="24"/>
              </w:rPr>
            </w:pPr>
          </w:p>
        </w:tc>
        <w:tc>
          <w:tcPr>
            <w:tcW w:w="1436" w:type="dxa"/>
            <w:tcBorders>
              <w:top w:val="single" w:sz="6" w:space="0" w:color="auto"/>
              <w:bottom w:val="single" w:sz="6" w:space="0" w:color="auto"/>
              <w:right w:val="single" w:sz="6" w:space="0" w:color="auto"/>
            </w:tcBorders>
          </w:tcPr>
          <w:p w14:paraId="3A02E7A5" w14:textId="77777777" w:rsidR="00F247C8" w:rsidRPr="00ED5AD0" w:rsidRDefault="00F247C8" w:rsidP="008F6A10">
            <w:pPr>
              <w:widowControl w:val="0"/>
              <w:rPr>
                <w:rFonts w:cs="Arial"/>
                <w:snapToGrid w:val="0"/>
                <w:szCs w:val="24"/>
              </w:rPr>
            </w:pPr>
          </w:p>
        </w:tc>
        <w:tc>
          <w:tcPr>
            <w:tcW w:w="1438" w:type="dxa"/>
            <w:tcBorders>
              <w:top w:val="single" w:sz="6" w:space="0" w:color="auto"/>
              <w:left w:val="single" w:sz="6" w:space="0" w:color="auto"/>
              <w:bottom w:val="single" w:sz="6" w:space="0" w:color="auto"/>
              <w:right w:val="single" w:sz="6" w:space="0" w:color="auto"/>
            </w:tcBorders>
          </w:tcPr>
          <w:p w14:paraId="1C7D6DD9" w14:textId="77777777" w:rsidR="00F247C8" w:rsidRPr="00ED5AD0" w:rsidRDefault="00F247C8" w:rsidP="008F6A10">
            <w:pPr>
              <w:widowControl w:val="0"/>
              <w:jc w:val="center"/>
              <w:rPr>
                <w:rFonts w:cs="Arial"/>
                <w:snapToGrid w:val="0"/>
                <w:szCs w:val="24"/>
              </w:rPr>
            </w:pPr>
            <w:r w:rsidRPr="00ED5AD0">
              <w:rPr>
                <w:rFonts w:cs="Arial"/>
                <w:snapToGrid w:val="0"/>
                <w:szCs w:val="24"/>
              </w:rPr>
              <w:t xml:space="preserve">From </w:t>
            </w:r>
          </w:p>
        </w:tc>
        <w:tc>
          <w:tcPr>
            <w:tcW w:w="1771" w:type="dxa"/>
            <w:tcBorders>
              <w:top w:val="single" w:sz="6" w:space="0" w:color="auto"/>
              <w:bottom w:val="single" w:sz="6" w:space="0" w:color="auto"/>
              <w:right w:val="single" w:sz="6" w:space="0" w:color="auto"/>
            </w:tcBorders>
          </w:tcPr>
          <w:p w14:paraId="12EBED8F" w14:textId="77777777" w:rsidR="00F247C8" w:rsidRPr="00ED5AD0" w:rsidRDefault="00F247C8" w:rsidP="008F6A10">
            <w:pPr>
              <w:widowControl w:val="0"/>
              <w:jc w:val="center"/>
              <w:rPr>
                <w:rFonts w:cs="Arial"/>
                <w:snapToGrid w:val="0"/>
                <w:szCs w:val="24"/>
              </w:rPr>
            </w:pPr>
            <w:r w:rsidRPr="00ED5AD0">
              <w:rPr>
                <w:rFonts w:cs="Arial"/>
                <w:snapToGrid w:val="0"/>
                <w:szCs w:val="24"/>
              </w:rPr>
              <w:t>To</w:t>
            </w:r>
          </w:p>
        </w:tc>
        <w:tc>
          <w:tcPr>
            <w:tcW w:w="168" w:type="dxa"/>
          </w:tcPr>
          <w:p w14:paraId="0005449F" w14:textId="77777777" w:rsidR="00F247C8" w:rsidRPr="00ED5AD0" w:rsidRDefault="00F247C8" w:rsidP="008F6A10">
            <w:pPr>
              <w:widowControl w:val="0"/>
              <w:rPr>
                <w:rFonts w:cs="Arial"/>
                <w:snapToGrid w:val="0"/>
                <w:szCs w:val="24"/>
              </w:rPr>
            </w:pPr>
          </w:p>
        </w:tc>
      </w:tr>
      <w:tr w:rsidR="00F247C8" w:rsidRPr="00ED5AD0" w14:paraId="22000D91" w14:textId="77777777" w:rsidTr="00EF3710">
        <w:trPr>
          <w:trHeight w:val="237"/>
        </w:trPr>
        <w:tc>
          <w:tcPr>
            <w:tcW w:w="1436" w:type="dxa"/>
            <w:tcBorders>
              <w:left w:val="single" w:sz="6" w:space="0" w:color="auto"/>
              <w:right w:val="single" w:sz="6" w:space="0" w:color="auto"/>
            </w:tcBorders>
          </w:tcPr>
          <w:p w14:paraId="03CD2697" w14:textId="77777777" w:rsidR="00F247C8" w:rsidRPr="00ED5AD0" w:rsidRDefault="00F247C8" w:rsidP="008F6A10">
            <w:pPr>
              <w:widowControl w:val="0"/>
              <w:jc w:val="center"/>
              <w:rPr>
                <w:rFonts w:cs="Arial"/>
                <w:snapToGrid w:val="0"/>
                <w:szCs w:val="24"/>
              </w:rPr>
            </w:pPr>
            <w:r w:rsidRPr="00ED5AD0">
              <w:rPr>
                <w:rFonts w:cs="Arial"/>
                <w:snapToGrid w:val="0"/>
                <w:szCs w:val="24"/>
              </w:rPr>
              <w:t>200</w:t>
            </w:r>
          </w:p>
        </w:tc>
        <w:tc>
          <w:tcPr>
            <w:tcW w:w="1436" w:type="dxa"/>
            <w:tcBorders>
              <w:left w:val="single" w:sz="6" w:space="0" w:color="auto"/>
              <w:right w:val="single" w:sz="6" w:space="0" w:color="auto"/>
            </w:tcBorders>
          </w:tcPr>
          <w:p w14:paraId="704E312A" w14:textId="77777777" w:rsidR="00F247C8" w:rsidRPr="00ED5AD0" w:rsidRDefault="00F247C8" w:rsidP="008F6A10">
            <w:pPr>
              <w:widowControl w:val="0"/>
              <w:jc w:val="center"/>
              <w:rPr>
                <w:rFonts w:cs="Arial"/>
                <w:snapToGrid w:val="0"/>
                <w:szCs w:val="24"/>
              </w:rPr>
            </w:pPr>
            <w:r w:rsidRPr="00ED5AD0">
              <w:rPr>
                <w:rFonts w:cs="Arial"/>
                <w:snapToGrid w:val="0"/>
                <w:szCs w:val="24"/>
              </w:rPr>
              <w:t>270</w:t>
            </w:r>
          </w:p>
        </w:tc>
        <w:tc>
          <w:tcPr>
            <w:tcW w:w="421" w:type="dxa"/>
            <w:tcBorders>
              <w:left w:val="single" w:sz="6" w:space="0" w:color="auto"/>
            </w:tcBorders>
          </w:tcPr>
          <w:p w14:paraId="02C10EF3"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436728F7" w14:textId="77777777" w:rsidR="00F247C8" w:rsidRPr="00ED5AD0" w:rsidRDefault="00F247C8" w:rsidP="008F6A10">
            <w:pPr>
              <w:widowControl w:val="0"/>
              <w:rPr>
                <w:rFonts w:cs="Arial"/>
                <w:snapToGrid w:val="0"/>
                <w:szCs w:val="24"/>
              </w:rPr>
            </w:pPr>
            <w:r w:rsidRPr="00ED5AD0">
              <w:rPr>
                <w:rFonts w:cs="Arial"/>
                <w:snapToGrid w:val="0"/>
                <w:szCs w:val="24"/>
              </w:rPr>
              <w:t>Band 1</w:t>
            </w:r>
          </w:p>
        </w:tc>
        <w:tc>
          <w:tcPr>
            <w:tcW w:w="1438" w:type="dxa"/>
            <w:tcBorders>
              <w:left w:val="single" w:sz="6" w:space="0" w:color="auto"/>
              <w:right w:val="single" w:sz="6" w:space="0" w:color="auto"/>
            </w:tcBorders>
          </w:tcPr>
          <w:p w14:paraId="679B5769" w14:textId="77777777" w:rsidR="00F247C8" w:rsidRPr="00ED5AD0" w:rsidRDefault="00D67126" w:rsidP="00D67126">
            <w:pPr>
              <w:widowControl w:val="0"/>
              <w:jc w:val="center"/>
              <w:rPr>
                <w:rFonts w:cs="Arial"/>
                <w:snapToGrid w:val="0"/>
                <w:szCs w:val="24"/>
              </w:rPr>
            </w:pPr>
            <w:r w:rsidRPr="00ED5AD0">
              <w:rPr>
                <w:rFonts w:cs="Arial"/>
                <w:snapToGrid w:val="0"/>
                <w:szCs w:val="24"/>
              </w:rPr>
              <w:t>1</w:t>
            </w:r>
          </w:p>
        </w:tc>
        <w:tc>
          <w:tcPr>
            <w:tcW w:w="1771" w:type="dxa"/>
            <w:tcBorders>
              <w:right w:val="single" w:sz="6" w:space="0" w:color="auto"/>
            </w:tcBorders>
          </w:tcPr>
          <w:p w14:paraId="4D753328" w14:textId="77777777" w:rsidR="00F247C8" w:rsidRPr="00ED5AD0" w:rsidRDefault="00D67126" w:rsidP="00D67126">
            <w:pPr>
              <w:widowControl w:val="0"/>
              <w:jc w:val="center"/>
              <w:rPr>
                <w:rFonts w:cs="Arial"/>
                <w:snapToGrid w:val="0"/>
                <w:szCs w:val="24"/>
              </w:rPr>
            </w:pPr>
            <w:r w:rsidRPr="00ED5AD0">
              <w:rPr>
                <w:rFonts w:cs="Arial"/>
                <w:snapToGrid w:val="0"/>
                <w:szCs w:val="24"/>
              </w:rPr>
              <w:t>1</w:t>
            </w:r>
          </w:p>
        </w:tc>
        <w:tc>
          <w:tcPr>
            <w:tcW w:w="168" w:type="dxa"/>
          </w:tcPr>
          <w:p w14:paraId="24386178" w14:textId="77777777" w:rsidR="00F247C8" w:rsidRPr="00ED5AD0" w:rsidRDefault="00F247C8" w:rsidP="008F6A10">
            <w:pPr>
              <w:widowControl w:val="0"/>
              <w:rPr>
                <w:rFonts w:cs="Arial"/>
                <w:snapToGrid w:val="0"/>
                <w:szCs w:val="24"/>
              </w:rPr>
            </w:pPr>
          </w:p>
        </w:tc>
      </w:tr>
      <w:tr w:rsidR="00F247C8" w:rsidRPr="00ED5AD0" w14:paraId="43E55290" w14:textId="77777777" w:rsidTr="00EF3710">
        <w:trPr>
          <w:trHeight w:val="224"/>
        </w:trPr>
        <w:tc>
          <w:tcPr>
            <w:tcW w:w="1436" w:type="dxa"/>
            <w:tcBorders>
              <w:left w:val="single" w:sz="6" w:space="0" w:color="auto"/>
              <w:right w:val="single" w:sz="6" w:space="0" w:color="auto"/>
            </w:tcBorders>
          </w:tcPr>
          <w:p w14:paraId="77152666" w14:textId="77777777" w:rsidR="00F247C8" w:rsidRPr="00ED5AD0" w:rsidRDefault="00F247C8" w:rsidP="008F6A10">
            <w:pPr>
              <w:widowControl w:val="0"/>
              <w:jc w:val="center"/>
              <w:rPr>
                <w:rFonts w:cs="Arial"/>
                <w:snapToGrid w:val="0"/>
                <w:szCs w:val="24"/>
              </w:rPr>
            </w:pPr>
            <w:r w:rsidRPr="00ED5AD0">
              <w:rPr>
                <w:rFonts w:cs="Arial"/>
                <w:snapToGrid w:val="0"/>
                <w:szCs w:val="24"/>
              </w:rPr>
              <w:t>271</w:t>
            </w:r>
          </w:p>
        </w:tc>
        <w:tc>
          <w:tcPr>
            <w:tcW w:w="1436" w:type="dxa"/>
            <w:tcBorders>
              <w:left w:val="single" w:sz="6" w:space="0" w:color="auto"/>
              <w:right w:val="single" w:sz="6" w:space="0" w:color="auto"/>
            </w:tcBorders>
          </w:tcPr>
          <w:p w14:paraId="016F1623" w14:textId="77777777" w:rsidR="00F247C8" w:rsidRPr="00ED5AD0" w:rsidRDefault="00F247C8" w:rsidP="008F6A10">
            <w:pPr>
              <w:widowControl w:val="0"/>
              <w:jc w:val="center"/>
              <w:rPr>
                <w:rFonts w:cs="Arial"/>
                <w:snapToGrid w:val="0"/>
                <w:szCs w:val="24"/>
              </w:rPr>
            </w:pPr>
            <w:r w:rsidRPr="00ED5AD0">
              <w:rPr>
                <w:rFonts w:cs="Arial"/>
                <w:snapToGrid w:val="0"/>
                <w:szCs w:val="24"/>
              </w:rPr>
              <w:t>310</w:t>
            </w:r>
          </w:p>
        </w:tc>
        <w:tc>
          <w:tcPr>
            <w:tcW w:w="421" w:type="dxa"/>
            <w:tcBorders>
              <w:left w:val="single" w:sz="6" w:space="0" w:color="auto"/>
            </w:tcBorders>
          </w:tcPr>
          <w:p w14:paraId="1DB0F297"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28575556" w14:textId="77777777" w:rsidR="00F247C8" w:rsidRPr="00ED5AD0" w:rsidRDefault="00F247C8" w:rsidP="008F6A10">
            <w:pPr>
              <w:widowControl w:val="0"/>
              <w:rPr>
                <w:rFonts w:cs="Arial"/>
                <w:snapToGrid w:val="0"/>
                <w:szCs w:val="24"/>
              </w:rPr>
            </w:pPr>
            <w:r w:rsidRPr="00ED5AD0">
              <w:rPr>
                <w:rFonts w:cs="Arial"/>
                <w:snapToGrid w:val="0"/>
                <w:szCs w:val="24"/>
              </w:rPr>
              <w:t>Band 2</w:t>
            </w:r>
          </w:p>
        </w:tc>
        <w:tc>
          <w:tcPr>
            <w:tcW w:w="1438" w:type="dxa"/>
            <w:tcBorders>
              <w:left w:val="single" w:sz="6" w:space="0" w:color="auto"/>
              <w:right w:val="single" w:sz="6" w:space="0" w:color="auto"/>
            </w:tcBorders>
          </w:tcPr>
          <w:p w14:paraId="3971985A" w14:textId="77777777" w:rsidR="00F247C8" w:rsidRPr="00ED5AD0" w:rsidRDefault="00D67126" w:rsidP="00D67126">
            <w:pPr>
              <w:widowControl w:val="0"/>
              <w:jc w:val="center"/>
              <w:rPr>
                <w:rFonts w:cs="Arial"/>
                <w:snapToGrid w:val="0"/>
                <w:szCs w:val="24"/>
              </w:rPr>
            </w:pPr>
            <w:r w:rsidRPr="00ED5AD0">
              <w:rPr>
                <w:rFonts w:cs="Arial"/>
                <w:snapToGrid w:val="0"/>
                <w:szCs w:val="24"/>
              </w:rPr>
              <w:t>2</w:t>
            </w:r>
          </w:p>
        </w:tc>
        <w:tc>
          <w:tcPr>
            <w:tcW w:w="1771" w:type="dxa"/>
            <w:tcBorders>
              <w:right w:val="single" w:sz="6" w:space="0" w:color="auto"/>
            </w:tcBorders>
          </w:tcPr>
          <w:p w14:paraId="55EE7731" w14:textId="77777777" w:rsidR="00F247C8" w:rsidRPr="00ED5AD0" w:rsidRDefault="00D67126" w:rsidP="00224337">
            <w:pPr>
              <w:widowControl w:val="0"/>
              <w:jc w:val="center"/>
              <w:rPr>
                <w:rFonts w:cs="Arial"/>
                <w:snapToGrid w:val="0"/>
                <w:szCs w:val="24"/>
              </w:rPr>
            </w:pPr>
            <w:r w:rsidRPr="00ED5AD0">
              <w:rPr>
                <w:rFonts w:cs="Arial"/>
                <w:snapToGrid w:val="0"/>
                <w:szCs w:val="24"/>
              </w:rPr>
              <w:t>3</w:t>
            </w:r>
          </w:p>
        </w:tc>
        <w:tc>
          <w:tcPr>
            <w:tcW w:w="168" w:type="dxa"/>
          </w:tcPr>
          <w:p w14:paraId="385F87B1" w14:textId="77777777" w:rsidR="00F247C8" w:rsidRPr="00ED5AD0" w:rsidRDefault="00F247C8" w:rsidP="008F6A10">
            <w:pPr>
              <w:widowControl w:val="0"/>
              <w:rPr>
                <w:rFonts w:cs="Arial"/>
                <w:snapToGrid w:val="0"/>
                <w:szCs w:val="24"/>
              </w:rPr>
            </w:pPr>
          </w:p>
        </w:tc>
      </w:tr>
      <w:tr w:rsidR="00F247C8" w:rsidRPr="00ED5AD0" w14:paraId="18371861" w14:textId="77777777" w:rsidTr="00EF3710">
        <w:trPr>
          <w:trHeight w:val="237"/>
        </w:trPr>
        <w:tc>
          <w:tcPr>
            <w:tcW w:w="1436" w:type="dxa"/>
            <w:tcBorders>
              <w:left w:val="single" w:sz="6" w:space="0" w:color="auto"/>
              <w:right w:val="single" w:sz="6" w:space="0" w:color="auto"/>
            </w:tcBorders>
          </w:tcPr>
          <w:p w14:paraId="4F9D402B" w14:textId="77777777" w:rsidR="00F247C8" w:rsidRPr="00ED5AD0" w:rsidRDefault="00F247C8" w:rsidP="008F6A10">
            <w:pPr>
              <w:widowControl w:val="0"/>
              <w:jc w:val="center"/>
              <w:rPr>
                <w:rFonts w:cs="Arial"/>
                <w:snapToGrid w:val="0"/>
                <w:szCs w:val="24"/>
              </w:rPr>
            </w:pPr>
            <w:r w:rsidRPr="00ED5AD0">
              <w:rPr>
                <w:rFonts w:cs="Arial"/>
                <w:snapToGrid w:val="0"/>
                <w:szCs w:val="24"/>
              </w:rPr>
              <w:t>311</w:t>
            </w:r>
          </w:p>
        </w:tc>
        <w:tc>
          <w:tcPr>
            <w:tcW w:w="1436" w:type="dxa"/>
            <w:tcBorders>
              <w:left w:val="single" w:sz="6" w:space="0" w:color="auto"/>
              <w:right w:val="single" w:sz="6" w:space="0" w:color="auto"/>
            </w:tcBorders>
          </w:tcPr>
          <w:p w14:paraId="5EB39400" w14:textId="77777777" w:rsidR="00F247C8" w:rsidRPr="00ED5AD0" w:rsidRDefault="00F247C8" w:rsidP="008F6A10">
            <w:pPr>
              <w:widowControl w:val="0"/>
              <w:jc w:val="center"/>
              <w:rPr>
                <w:rFonts w:cs="Arial"/>
                <w:snapToGrid w:val="0"/>
                <w:szCs w:val="24"/>
              </w:rPr>
            </w:pPr>
            <w:r w:rsidRPr="00ED5AD0">
              <w:rPr>
                <w:rFonts w:cs="Arial"/>
                <w:snapToGrid w:val="0"/>
                <w:szCs w:val="24"/>
              </w:rPr>
              <w:t>350</w:t>
            </w:r>
          </w:p>
        </w:tc>
        <w:tc>
          <w:tcPr>
            <w:tcW w:w="421" w:type="dxa"/>
            <w:tcBorders>
              <w:left w:val="single" w:sz="6" w:space="0" w:color="auto"/>
            </w:tcBorders>
          </w:tcPr>
          <w:p w14:paraId="2A41B0CC"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3528520F" w14:textId="77777777" w:rsidR="00F247C8" w:rsidRPr="00ED5AD0" w:rsidRDefault="00F247C8" w:rsidP="008F6A10">
            <w:pPr>
              <w:widowControl w:val="0"/>
              <w:rPr>
                <w:rFonts w:cs="Arial"/>
                <w:snapToGrid w:val="0"/>
                <w:szCs w:val="24"/>
              </w:rPr>
            </w:pPr>
            <w:r w:rsidRPr="00ED5AD0">
              <w:rPr>
                <w:rFonts w:cs="Arial"/>
                <w:snapToGrid w:val="0"/>
                <w:szCs w:val="24"/>
              </w:rPr>
              <w:t>Band 3</w:t>
            </w:r>
          </w:p>
        </w:tc>
        <w:tc>
          <w:tcPr>
            <w:tcW w:w="1438" w:type="dxa"/>
            <w:tcBorders>
              <w:left w:val="single" w:sz="6" w:space="0" w:color="auto"/>
              <w:right w:val="single" w:sz="6" w:space="0" w:color="auto"/>
            </w:tcBorders>
          </w:tcPr>
          <w:p w14:paraId="66E0DC05" w14:textId="77777777" w:rsidR="00F247C8" w:rsidRPr="00ED5AD0" w:rsidRDefault="00D67126" w:rsidP="00224337">
            <w:pPr>
              <w:widowControl w:val="0"/>
              <w:jc w:val="center"/>
              <w:rPr>
                <w:rFonts w:cs="Arial"/>
                <w:snapToGrid w:val="0"/>
                <w:szCs w:val="24"/>
              </w:rPr>
            </w:pPr>
            <w:r w:rsidRPr="00ED5AD0">
              <w:rPr>
                <w:rFonts w:cs="Arial"/>
                <w:snapToGrid w:val="0"/>
                <w:szCs w:val="24"/>
              </w:rPr>
              <w:t>4</w:t>
            </w:r>
          </w:p>
        </w:tc>
        <w:tc>
          <w:tcPr>
            <w:tcW w:w="1771" w:type="dxa"/>
            <w:tcBorders>
              <w:right w:val="single" w:sz="6" w:space="0" w:color="auto"/>
            </w:tcBorders>
          </w:tcPr>
          <w:p w14:paraId="5B658C19" w14:textId="77777777" w:rsidR="00F247C8" w:rsidRPr="00ED5AD0" w:rsidRDefault="00D67126" w:rsidP="00224337">
            <w:pPr>
              <w:widowControl w:val="0"/>
              <w:jc w:val="center"/>
              <w:rPr>
                <w:rFonts w:cs="Arial"/>
                <w:snapToGrid w:val="0"/>
                <w:szCs w:val="24"/>
              </w:rPr>
            </w:pPr>
            <w:r w:rsidRPr="00ED5AD0">
              <w:rPr>
                <w:rFonts w:cs="Arial"/>
                <w:snapToGrid w:val="0"/>
                <w:szCs w:val="24"/>
              </w:rPr>
              <w:t>5</w:t>
            </w:r>
          </w:p>
        </w:tc>
        <w:tc>
          <w:tcPr>
            <w:tcW w:w="168" w:type="dxa"/>
          </w:tcPr>
          <w:p w14:paraId="61BC8494" w14:textId="77777777" w:rsidR="00F247C8" w:rsidRPr="00ED5AD0" w:rsidRDefault="00F247C8" w:rsidP="008F6A10">
            <w:pPr>
              <w:widowControl w:val="0"/>
              <w:rPr>
                <w:rFonts w:cs="Arial"/>
                <w:snapToGrid w:val="0"/>
                <w:szCs w:val="24"/>
              </w:rPr>
            </w:pPr>
          </w:p>
        </w:tc>
      </w:tr>
      <w:tr w:rsidR="00F247C8" w:rsidRPr="00ED5AD0" w14:paraId="56257B45" w14:textId="77777777" w:rsidTr="00EF3710">
        <w:trPr>
          <w:trHeight w:val="224"/>
        </w:trPr>
        <w:tc>
          <w:tcPr>
            <w:tcW w:w="1436" w:type="dxa"/>
            <w:tcBorders>
              <w:left w:val="single" w:sz="6" w:space="0" w:color="auto"/>
              <w:right w:val="single" w:sz="6" w:space="0" w:color="auto"/>
            </w:tcBorders>
          </w:tcPr>
          <w:p w14:paraId="14AF0953" w14:textId="77777777" w:rsidR="00F247C8" w:rsidRPr="00ED5AD0" w:rsidRDefault="00F247C8" w:rsidP="008F6A10">
            <w:pPr>
              <w:widowControl w:val="0"/>
              <w:jc w:val="center"/>
              <w:rPr>
                <w:rFonts w:cs="Arial"/>
                <w:snapToGrid w:val="0"/>
                <w:szCs w:val="24"/>
              </w:rPr>
            </w:pPr>
            <w:r w:rsidRPr="00ED5AD0">
              <w:rPr>
                <w:rFonts w:cs="Arial"/>
                <w:snapToGrid w:val="0"/>
                <w:szCs w:val="24"/>
              </w:rPr>
              <w:t>351</w:t>
            </w:r>
          </w:p>
        </w:tc>
        <w:tc>
          <w:tcPr>
            <w:tcW w:w="1436" w:type="dxa"/>
            <w:tcBorders>
              <w:left w:val="single" w:sz="6" w:space="0" w:color="auto"/>
              <w:right w:val="single" w:sz="6" w:space="0" w:color="auto"/>
            </w:tcBorders>
          </w:tcPr>
          <w:p w14:paraId="1A055E97" w14:textId="77777777" w:rsidR="00F247C8" w:rsidRPr="00ED5AD0" w:rsidRDefault="00F247C8" w:rsidP="008F6A10">
            <w:pPr>
              <w:widowControl w:val="0"/>
              <w:jc w:val="center"/>
              <w:rPr>
                <w:rFonts w:cs="Arial"/>
                <w:snapToGrid w:val="0"/>
                <w:szCs w:val="24"/>
              </w:rPr>
            </w:pPr>
            <w:r w:rsidRPr="00ED5AD0">
              <w:rPr>
                <w:rFonts w:cs="Arial"/>
                <w:snapToGrid w:val="0"/>
                <w:szCs w:val="24"/>
              </w:rPr>
              <w:t>395</w:t>
            </w:r>
          </w:p>
        </w:tc>
        <w:tc>
          <w:tcPr>
            <w:tcW w:w="421" w:type="dxa"/>
            <w:tcBorders>
              <w:left w:val="single" w:sz="6" w:space="0" w:color="auto"/>
            </w:tcBorders>
          </w:tcPr>
          <w:p w14:paraId="5B0A8B7D"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3E9622EF" w14:textId="77777777" w:rsidR="00F247C8" w:rsidRPr="00ED5AD0" w:rsidRDefault="00F247C8" w:rsidP="008F6A10">
            <w:pPr>
              <w:widowControl w:val="0"/>
              <w:rPr>
                <w:rFonts w:cs="Arial"/>
                <w:snapToGrid w:val="0"/>
                <w:szCs w:val="24"/>
              </w:rPr>
            </w:pPr>
            <w:r w:rsidRPr="00ED5AD0">
              <w:rPr>
                <w:rFonts w:cs="Arial"/>
                <w:snapToGrid w:val="0"/>
                <w:szCs w:val="24"/>
              </w:rPr>
              <w:t>Band 4</w:t>
            </w:r>
          </w:p>
        </w:tc>
        <w:tc>
          <w:tcPr>
            <w:tcW w:w="1438" w:type="dxa"/>
            <w:tcBorders>
              <w:left w:val="single" w:sz="6" w:space="0" w:color="auto"/>
              <w:right w:val="single" w:sz="6" w:space="0" w:color="auto"/>
            </w:tcBorders>
          </w:tcPr>
          <w:p w14:paraId="20C71394" w14:textId="77777777" w:rsidR="00F247C8" w:rsidRPr="00ED5AD0" w:rsidRDefault="00D67126" w:rsidP="00224337">
            <w:pPr>
              <w:widowControl w:val="0"/>
              <w:jc w:val="center"/>
              <w:rPr>
                <w:rFonts w:cs="Arial"/>
                <w:snapToGrid w:val="0"/>
                <w:szCs w:val="24"/>
              </w:rPr>
            </w:pPr>
            <w:r w:rsidRPr="00ED5AD0">
              <w:rPr>
                <w:rFonts w:cs="Arial"/>
                <w:snapToGrid w:val="0"/>
                <w:szCs w:val="24"/>
              </w:rPr>
              <w:t>6</w:t>
            </w:r>
          </w:p>
        </w:tc>
        <w:tc>
          <w:tcPr>
            <w:tcW w:w="1771" w:type="dxa"/>
            <w:tcBorders>
              <w:right w:val="single" w:sz="6" w:space="0" w:color="auto"/>
            </w:tcBorders>
          </w:tcPr>
          <w:p w14:paraId="1046C5B2" w14:textId="77777777" w:rsidR="00F247C8" w:rsidRPr="00ED5AD0" w:rsidRDefault="00D67126" w:rsidP="008F6A10">
            <w:pPr>
              <w:widowControl w:val="0"/>
              <w:jc w:val="center"/>
              <w:rPr>
                <w:rFonts w:cs="Arial"/>
                <w:snapToGrid w:val="0"/>
                <w:szCs w:val="24"/>
              </w:rPr>
            </w:pPr>
            <w:r w:rsidRPr="00ED5AD0">
              <w:rPr>
                <w:rFonts w:cs="Arial"/>
                <w:snapToGrid w:val="0"/>
                <w:szCs w:val="24"/>
              </w:rPr>
              <w:t>8</w:t>
            </w:r>
          </w:p>
        </w:tc>
        <w:tc>
          <w:tcPr>
            <w:tcW w:w="168" w:type="dxa"/>
          </w:tcPr>
          <w:p w14:paraId="061B0899" w14:textId="77777777" w:rsidR="00F247C8" w:rsidRPr="00ED5AD0" w:rsidRDefault="00F247C8" w:rsidP="008F6A10">
            <w:pPr>
              <w:widowControl w:val="0"/>
              <w:rPr>
                <w:rFonts w:cs="Arial"/>
                <w:snapToGrid w:val="0"/>
                <w:szCs w:val="24"/>
              </w:rPr>
            </w:pPr>
          </w:p>
        </w:tc>
      </w:tr>
      <w:tr w:rsidR="00F247C8" w:rsidRPr="00ED5AD0" w14:paraId="0AC38E56" w14:textId="77777777" w:rsidTr="00EF3710">
        <w:trPr>
          <w:trHeight w:val="224"/>
        </w:trPr>
        <w:tc>
          <w:tcPr>
            <w:tcW w:w="1436" w:type="dxa"/>
            <w:tcBorders>
              <w:left w:val="single" w:sz="6" w:space="0" w:color="auto"/>
              <w:right w:val="single" w:sz="6" w:space="0" w:color="auto"/>
            </w:tcBorders>
          </w:tcPr>
          <w:p w14:paraId="76F6EDEA" w14:textId="77777777" w:rsidR="00F247C8" w:rsidRPr="00ED5AD0" w:rsidRDefault="00F247C8" w:rsidP="008F6A10">
            <w:pPr>
              <w:widowControl w:val="0"/>
              <w:jc w:val="center"/>
              <w:rPr>
                <w:rFonts w:cs="Arial"/>
                <w:snapToGrid w:val="0"/>
                <w:szCs w:val="24"/>
              </w:rPr>
            </w:pPr>
            <w:r w:rsidRPr="00ED5AD0">
              <w:rPr>
                <w:rFonts w:cs="Arial"/>
                <w:snapToGrid w:val="0"/>
                <w:szCs w:val="24"/>
              </w:rPr>
              <w:t>396</w:t>
            </w:r>
          </w:p>
        </w:tc>
        <w:tc>
          <w:tcPr>
            <w:tcW w:w="1436" w:type="dxa"/>
            <w:tcBorders>
              <w:left w:val="single" w:sz="6" w:space="0" w:color="auto"/>
              <w:right w:val="single" w:sz="6" w:space="0" w:color="auto"/>
            </w:tcBorders>
          </w:tcPr>
          <w:p w14:paraId="7A1220C4" w14:textId="77777777" w:rsidR="00F247C8" w:rsidRPr="00ED5AD0" w:rsidRDefault="00F247C8" w:rsidP="008F6A10">
            <w:pPr>
              <w:widowControl w:val="0"/>
              <w:jc w:val="center"/>
              <w:rPr>
                <w:rFonts w:cs="Arial"/>
                <w:snapToGrid w:val="0"/>
                <w:szCs w:val="24"/>
              </w:rPr>
            </w:pPr>
            <w:r w:rsidRPr="00ED5AD0">
              <w:rPr>
                <w:rFonts w:cs="Arial"/>
                <w:snapToGrid w:val="0"/>
                <w:szCs w:val="24"/>
              </w:rPr>
              <w:t>440</w:t>
            </w:r>
          </w:p>
        </w:tc>
        <w:tc>
          <w:tcPr>
            <w:tcW w:w="421" w:type="dxa"/>
            <w:tcBorders>
              <w:left w:val="single" w:sz="6" w:space="0" w:color="auto"/>
            </w:tcBorders>
          </w:tcPr>
          <w:p w14:paraId="247FFBA9"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5CE650FE" w14:textId="77777777" w:rsidR="00F247C8" w:rsidRPr="00ED5AD0" w:rsidRDefault="00F247C8" w:rsidP="008F6A10">
            <w:pPr>
              <w:widowControl w:val="0"/>
              <w:rPr>
                <w:rFonts w:cs="Arial"/>
                <w:snapToGrid w:val="0"/>
                <w:szCs w:val="24"/>
              </w:rPr>
            </w:pPr>
            <w:r w:rsidRPr="00ED5AD0">
              <w:rPr>
                <w:rFonts w:cs="Arial"/>
                <w:snapToGrid w:val="0"/>
                <w:szCs w:val="24"/>
              </w:rPr>
              <w:t>Band 5</w:t>
            </w:r>
          </w:p>
        </w:tc>
        <w:tc>
          <w:tcPr>
            <w:tcW w:w="1438" w:type="dxa"/>
            <w:tcBorders>
              <w:left w:val="single" w:sz="6" w:space="0" w:color="auto"/>
              <w:right w:val="single" w:sz="6" w:space="0" w:color="auto"/>
            </w:tcBorders>
          </w:tcPr>
          <w:p w14:paraId="0ABE0EDF" w14:textId="77777777" w:rsidR="00F247C8" w:rsidRPr="00ED5AD0" w:rsidRDefault="00D67126" w:rsidP="00D67126">
            <w:pPr>
              <w:widowControl w:val="0"/>
              <w:jc w:val="center"/>
              <w:rPr>
                <w:rFonts w:cs="Arial"/>
                <w:snapToGrid w:val="0"/>
                <w:szCs w:val="24"/>
              </w:rPr>
            </w:pPr>
            <w:r w:rsidRPr="00ED5AD0">
              <w:rPr>
                <w:rFonts w:cs="Arial"/>
                <w:snapToGrid w:val="0"/>
                <w:szCs w:val="24"/>
              </w:rPr>
              <w:t>11</w:t>
            </w:r>
          </w:p>
        </w:tc>
        <w:tc>
          <w:tcPr>
            <w:tcW w:w="1771" w:type="dxa"/>
            <w:tcBorders>
              <w:right w:val="single" w:sz="6" w:space="0" w:color="auto"/>
            </w:tcBorders>
          </w:tcPr>
          <w:p w14:paraId="384D3862" w14:textId="77777777" w:rsidR="00F247C8" w:rsidRPr="00ED5AD0" w:rsidRDefault="00D67126" w:rsidP="00224337">
            <w:pPr>
              <w:widowControl w:val="0"/>
              <w:jc w:val="center"/>
              <w:rPr>
                <w:rFonts w:cs="Arial"/>
                <w:snapToGrid w:val="0"/>
                <w:szCs w:val="24"/>
              </w:rPr>
            </w:pPr>
            <w:r w:rsidRPr="00ED5AD0">
              <w:rPr>
                <w:rFonts w:cs="Arial"/>
                <w:snapToGrid w:val="0"/>
                <w:szCs w:val="24"/>
              </w:rPr>
              <w:t>14</w:t>
            </w:r>
          </w:p>
        </w:tc>
        <w:tc>
          <w:tcPr>
            <w:tcW w:w="168" w:type="dxa"/>
          </w:tcPr>
          <w:p w14:paraId="0578EA5C" w14:textId="77777777" w:rsidR="00F247C8" w:rsidRPr="00ED5AD0" w:rsidRDefault="00F247C8" w:rsidP="008F6A10">
            <w:pPr>
              <w:widowControl w:val="0"/>
              <w:rPr>
                <w:rFonts w:cs="Arial"/>
                <w:snapToGrid w:val="0"/>
                <w:szCs w:val="24"/>
              </w:rPr>
            </w:pPr>
          </w:p>
        </w:tc>
      </w:tr>
      <w:tr w:rsidR="00F247C8" w:rsidRPr="00ED5AD0" w14:paraId="38C68D6D" w14:textId="77777777" w:rsidTr="00EF3710">
        <w:trPr>
          <w:trHeight w:val="237"/>
        </w:trPr>
        <w:tc>
          <w:tcPr>
            <w:tcW w:w="1436" w:type="dxa"/>
            <w:tcBorders>
              <w:left w:val="single" w:sz="6" w:space="0" w:color="auto"/>
              <w:right w:val="single" w:sz="6" w:space="0" w:color="auto"/>
            </w:tcBorders>
          </w:tcPr>
          <w:p w14:paraId="0B383497" w14:textId="77777777" w:rsidR="00F247C8" w:rsidRPr="00ED5AD0" w:rsidRDefault="00F247C8" w:rsidP="008F6A10">
            <w:pPr>
              <w:widowControl w:val="0"/>
              <w:jc w:val="center"/>
              <w:rPr>
                <w:rFonts w:cs="Arial"/>
                <w:snapToGrid w:val="0"/>
                <w:szCs w:val="24"/>
              </w:rPr>
            </w:pPr>
            <w:r w:rsidRPr="00ED5AD0">
              <w:rPr>
                <w:rFonts w:cs="Arial"/>
                <w:snapToGrid w:val="0"/>
                <w:szCs w:val="24"/>
              </w:rPr>
              <w:t>441</w:t>
            </w:r>
          </w:p>
        </w:tc>
        <w:tc>
          <w:tcPr>
            <w:tcW w:w="1436" w:type="dxa"/>
            <w:tcBorders>
              <w:left w:val="single" w:sz="6" w:space="0" w:color="auto"/>
              <w:right w:val="single" w:sz="6" w:space="0" w:color="auto"/>
            </w:tcBorders>
          </w:tcPr>
          <w:p w14:paraId="064632F1" w14:textId="77777777" w:rsidR="00F247C8" w:rsidRPr="00ED5AD0" w:rsidRDefault="00F247C8" w:rsidP="008F6A10">
            <w:pPr>
              <w:widowControl w:val="0"/>
              <w:jc w:val="center"/>
              <w:rPr>
                <w:rFonts w:cs="Arial"/>
                <w:snapToGrid w:val="0"/>
                <w:szCs w:val="24"/>
              </w:rPr>
            </w:pPr>
            <w:r w:rsidRPr="00ED5AD0">
              <w:rPr>
                <w:rFonts w:cs="Arial"/>
                <w:snapToGrid w:val="0"/>
                <w:szCs w:val="24"/>
              </w:rPr>
              <w:t>475</w:t>
            </w:r>
          </w:p>
        </w:tc>
        <w:tc>
          <w:tcPr>
            <w:tcW w:w="421" w:type="dxa"/>
            <w:tcBorders>
              <w:left w:val="single" w:sz="6" w:space="0" w:color="auto"/>
            </w:tcBorders>
          </w:tcPr>
          <w:p w14:paraId="4E1CEFDD"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472AC07C" w14:textId="77777777" w:rsidR="00F247C8" w:rsidRPr="00ED5AD0" w:rsidRDefault="00F247C8" w:rsidP="008F6A10">
            <w:pPr>
              <w:widowControl w:val="0"/>
              <w:rPr>
                <w:rFonts w:cs="Arial"/>
                <w:snapToGrid w:val="0"/>
                <w:szCs w:val="24"/>
              </w:rPr>
            </w:pPr>
            <w:r w:rsidRPr="00ED5AD0">
              <w:rPr>
                <w:rFonts w:cs="Arial"/>
                <w:snapToGrid w:val="0"/>
                <w:szCs w:val="24"/>
              </w:rPr>
              <w:t>Band 6</w:t>
            </w:r>
          </w:p>
        </w:tc>
        <w:tc>
          <w:tcPr>
            <w:tcW w:w="1438" w:type="dxa"/>
            <w:tcBorders>
              <w:left w:val="single" w:sz="6" w:space="0" w:color="auto"/>
              <w:right w:val="single" w:sz="6" w:space="0" w:color="auto"/>
            </w:tcBorders>
          </w:tcPr>
          <w:p w14:paraId="4E272EA9" w14:textId="77777777" w:rsidR="00F247C8" w:rsidRPr="00ED5AD0" w:rsidRDefault="00D67126" w:rsidP="00D67126">
            <w:pPr>
              <w:widowControl w:val="0"/>
              <w:jc w:val="center"/>
              <w:rPr>
                <w:rFonts w:cs="Arial"/>
                <w:snapToGrid w:val="0"/>
                <w:szCs w:val="24"/>
              </w:rPr>
            </w:pPr>
            <w:r w:rsidRPr="00ED5AD0">
              <w:rPr>
                <w:rFonts w:cs="Arial"/>
                <w:snapToGrid w:val="0"/>
                <w:szCs w:val="24"/>
              </w:rPr>
              <w:t>16</w:t>
            </w:r>
          </w:p>
        </w:tc>
        <w:tc>
          <w:tcPr>
            <w:tcW w:w="1771" w:type="dxa"/>
            <w:tcBorders>
              <w:right w:val="single" w:sz="6" w:space="0" w:color="auto"/>
            </w:tcBorders>
          </w:tcPr>
          <w:p w14:paraId="5035EC86" w14:textId="77777777" w:rsidR="00F247C8" w:rsidRPr="00ED5AD0" w:rsidRDefault="00F247C8" w:rsidP="00224337">
            <w:pPr>
              <w:widowControl w:val="0"/>
              <w:jc w:val="center"/>
              <w:rPr>
                <w:rFonts w:cs="Arial"/>
                <w:snapToGrid w:val="0"/>
                <w:szCs w:val="24"/>
              </w:rPr>
            </w:pPr>
            <w:r w:rsidRPr="00ED5AD0">
              <w:rPr>
                <w:rFonts w:cs="Arial"/>
                <w:snapToGrid w:val="0"/>
                <w:szCs w:val="24"/>
              </w:rPr>
              <w:t>2</w:t>
            </w:r>
            <w:r w:rsidR="00D67126" w:rsidRPr="00ED5AD0">
              <w:rPr>
                <w:rFonts w:cs="Arial"/>
                <w:snapToGrid w:val="0"/>
                <w:szCs w:val="24"/>
              </w:rPr>
              <w:t>0</w:t>
            </w:r>
          </w:p>
        </w:tc>
        <w:tc>
          <w:tcPr>
            <w:tcW w:w="168" w:type="dxa"/>
          </w:tcPr>
          <w:p w14:paraId="3FBFB66F" w14:textId="77777777" w:rsidR="00F247C8" w:rsidRPr="00ED5AD0" w:rsidRDefault="00F247C8" w:rsidP="008F6A10">
            <w:pPr>
              <w:widowControl w:val="0"/>
              <w:rPr>
                <w:rFonts w:cs="Arial"/>
                <w:snapToGrid w:val="0"/>
                <w:szCs w:val="24"/>
              </w:rPr>
            </w:pPr>
          </w:p>
        </w:tc>
      </w:tr>
      <w:tr w:rsidR="00F247C8" w:rsidRPr="00ED5AD0" w14:paraId="393ADF69" w14:textId="77777777" w:rsidTr="00EF3710">
        <w:trPr>
          <w:trHeight w:val="224"/>
        </w:trPr>
        <w:tc>
          <w:tcPr>
            <w:tcW w:w="1436" w:type="dxa"/>
            <w:tcBorders>
              <w:left w:val="single" w:sz="6" w:space="0" w:color="auto"/>
              <w:right w:val="single" w:sz="6" w:space="0" w:color="auto"/>
            </w:tcBorders>
          </w:tcPr>
          <w:p w14:paraId="342C64EB" w14:textId="77777777" w:rsidR="00F247C8" w:rsidRPr="00ED5AD0" w:rsidRDefault="00F247C8" w:rsidP="008F6A10">
            <w:pPr>
              <w:widowControl w:val="0"/>
              <w:jc w:val="center"/>
              <w:rPr>
                <w:rFonts w:cs="Arial"/>
                <w:snapToGrid w:val="0"/>
                <w:szCs w:val="24"/>
              </w:rPr>
            </w:pPr>
            <w:r w:rsidRPr="00ED5AD0">
              <w:rPr>
                <w:rFonts w:cs="Arial"/>
                <w:snapToGrid w:val="0"/>
                <w:szCs w:val="24"/>
              </w:rPr>
              <w:t>476</w:t>
            </w:r>
          </w:p>
        </w:tc>
        <w:tc>
          <w:tcPr>
            <w:tcW w:w="1436" w:type="dxa"/>
            <w:tcBorders>
              <w:left w:val="single" w:sz="6" w:space="0" w:color="auto"/>
              <w:right w:val="single" w:sz="6" w:space="0" w:color="auto"/>
            </w:tcBorders>
          </w:tcPr>
          <w:p w14:paraId="26284871" w14:textId="77777777" w:rsidR="00F247C8" w:rsidRPr="00ED5AD0" w:rsidRDefault="00F247C8" w:rsidP="008F6A10">
            <w:pPr>
              <w:widowControl w:val="0"/>
              <w:jc w:val="center"/>
              <w:rPr>
                <w:rFonts w:cs="Arial"/>
                <w:snapToGrid w:val="0"/>
                <w:szCs w:val="24"/>
              </w:rPr>
            </w:pPr>
            <w:r w:rsidRPr="00ED5AD0">
              <w:rPr>
                <w:rFonts w:cs="Arial"/>
                <w:snapToGrid w:val="0"/>
                <w:szCs w:val="24"/>
              </w:rPr>
              <w:t>515</w:t>
            </w:r>
          </w:p>
        </w:tc>
        <w:tc>
          <w:tcPr>
            <w:tcW w:w="421" w:type="dxa"/>
            <w:tcBorders>
              <w:left w:val="single" w:sz="6" w:space="0" w:color="auto"/>
            </w:tcBorders>
          </w:tcPr>
          <w:p w14:paraId="726FCBF3"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45F00C42" w14:textId="77777777" w:rsidR="00F247C8" w:rsidRPr="00ED5AD0" w:rsidRDefault="00F247C8" w:rsidP="008F6A10">
            <w:pPr>
              <w:widowControl w:val="0"/>
              <w:rPr>
                <w:rFonts w:cs="Arial"/>
                <w:snapToGrid w:val="0"/>
                <w:szCs w:val="24"/>
              </w:rPr>
            </w:pPr>
            <w:r w:rsidRPr="00ED5AD0">
              <w:rPr>
                <w:rFonts w:cs="Arial"/>
                <w:snapToGrid w:val="0"/>
                <w:szCs w:val="24"/>
              </w:rPr>
              <w:t>Band 7</w:t>
            </w:r>
          </w:p>
        </w:tc>
        <w:tc>
          <w:tcPr>
            <w:tcW w:w="1438" w:type="dxa"/>
            <w:tcBorders>
              <w:left w:val="single" w:sz="6" w:space="0" w:color="auto"/>
              <w:right w:val="single" w:sz="6" w:space="0" w:color="auto"/>
            </w:tcBorders>
          </w:tcPr>
          <w:p w14:paraId="251317DF" w14:textId="77777777" w:rsidR="00F247C8" w:rsidRPr="00ED5AD0" w:rsidRDefault="00F247C8" w:rsidP="00D67126">
            <w:pPr>
              <w:widowControl w:val="0"/>
              <w:jc w:val="center"/>
              <w:rPr>
                <w:rFonts w:cs="Arial"/>
                <w:snapToGrid w:val="0"/>
                <w:szCs w:val="24"/>
              </w:rPr>
            </w:pPr>
            <w:r w:rsidRPr="00ED5AD0">
              <w:rPr>
                <w:rFonts w:cs="Arial"/>
                <w:snapToGrid w:val="0"/>
                <w:szCs w:val="24"/>
              </w:rPr>
              <w:t>2</w:t>
            </w:r>
            <w:r w:rsidR="00D67126" w:rsidRPr="00ED5AD0">
              <w:rPr>
                <w:rFonts w:cs="Arial"/>
                <w:snapToGrid w:val="0"/>
                <w:szCs w:val="24"/>
              </w:rPr>
              <w:t>2</w:t>
            </w:r>
          </w:p>
        </w:tc>
        <w:tc>
          <w:tcPr>
            <w:tcW w:w="1771" w:type="dxa"/>
            <w:tcBorders>
              <w:right w:val="single" w:sz="6" w:space="0" w:color="auto"/>
            </w:tcBorders>
          </w:tcPr>
          <w:p w14:paraId="68877BF5" w14:textId="77777777" w:rsidR="00F247C8" w:rsidRPr="00ED5AD0" w:rsidRDefault="00D67126" w:rsidP="008F6A10">
            <w:pPr>
              <w:widowControl w:val="0"/>
              <w:jc w:val="center"/>
              <w:rPr>
                <w:rFonts w:cs="Arial"/>
                <w:snapToGrid w:val="0"/>
                <w:szCs w:val="24"/>
              </w:rPr>
            </w:pPr>
            <w:r w:rsidRPr="00ED5AD0">
              <w:rPr>
                <w:rFonts w:cs="Arial"/>
                <w:snapToGrid w:val="0"/>
                <w:szCs w:val="24"/>
              </w:rPr>
              <w:t>24</w:t>
            </w:r>
          </w:p>
        </w:tc>
        <w:tc>
          <w:tcPr>
            <w:tcW w:w="168" w:type="dxa"/>
          </w:tcPr>
          <w:p w14:paraId="30AB5DD1" w14:textId="77777777" w:rsidR="00F247C8" w:rsidRPr="00ED5AD0" w:rsidRDefault="00F247C8" w:rsidP="008F6A10">
            <w:pPr>
              <w:widowControl w:val="0"/>
              <w:rPr>
                <w:rFonts w:cs="Arial"/>
                <w:snapToGrid w:val="0"/>
                <w:szCs w:val="24"/>
              </w:rPr>
            </w:pPr>
          </w:p>
        </w:tc>
      </w:tr>
      <w:tr w:rsidR="00F247C8" w:rsidRPr="00ED5AD0" w14:paraId="65FD16AD" w14:textId="77777777" w:rsidTr="00EF3710">
        <w:trPr>
          <w:trHeight w:val="237"/>
        </w:trPr>
        <w:tc>
          <w:tcPr>
            <w:tcW w:w="1436" w:type="dxa"/>
            <w:tcBorders>
              <w:left w:val="single" w:sz="6" w:space="0" w:color="auto"/>
              <w:right w:val="single" w:sz="6" w:space="0" w:color="auto"/>
            </w:tcBorders>
          </w:tcPr>
          <w:p w14:paraId="229999BC" w14:textId="77777777" w:rsidR="00F247C8" w:rsidRPr="00ED5AD0" w:rsidRDefault="00F247C8" w:rsidP="008F6A10">
            <w:pPr>
              <w:widowControl w:val="0"/>
              <w:jc w:val="center"/>
              <w:rPr>
                <w:rFonts w:cs="Arial"/>
                <w:snapToGrid w:val="0"/>
                <w:szCs w:val="24"/>
              </w:rPr>
            </w:pPr>
            <w:r w:rsidRPr="00ED5AD0">
              <w:rPr>
                <w:rFonts w:cs="Arial"/>
                <w:snapToGrid w:val="0"/>
                <w:szCs w:val="24"/>
              </w:rPr>
              <w:t>516</w:t>
            </w:r>
          </w:p>
        </w:tc>
        <w:tc>
          <w:tcPr>
            <w:tcW w:w="1436" w:type="dxa"/>
            <w:tcBorders>
              <w:left w:val="single" w:sz="6" w:space="0" w:color="auto"/>
              <w:right w:val="single" w:sz="6" w:space="0" w:color="auto"/>
            </w:tcBorders>
          </w:tcPr>
          <w:p w14:paraId="79AB8BEC" w14:textId="77777777" w:rsidR="00F247C8" w:rsidRPr="00ED5AD0" w:rsidRDefault="00F247C8" w:rsidP="008F6A10">
            <w:pPr>
              <w:widowControl w:val="0"/>
              <w:jc w:val="center"/>
              <w:rPr>
                <w:rFonts w:cs="Arial"/>
                <w:snapToGrid w:val="0"/>
                <w:szCs w:val="24"/>
              </w:rPr>
            </w:pPr>
            <w:r w:rsidRPr="00ED5AD0">
              <w:rPr>
                <w:rFonts w:cs="Arial"/>
                <w:snapToGrid w:val="0"/>
                <w:szCs w:val="24"/>
              </w:rPr>
              <w:t>540</w:t>
            </w:r>
          </w:p>
        </w:tc>
        <w:tc>
          <w:tcPr>
            <w:tcW w:w="421" w:type="dxa"/>
            <w:tcBorders>
              <w:left w:val="single" w:sz="6" w:space="0" w:color="auto"/>
            </w:tcBorders>
          </w:tcPr>
          <w:p w14:paraId="4523D9A4"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0B613AA1" w14:textId="77777777" w:rsidR="00F247C8" w:rsidRPr="00ED5AD0" w:rsidRDefault="00F247C8" w:rsidP="008F6A10">
            <w:pPr>
              <w:widowControl w:val="0"/>
              <w:rPr>
                <w:rFonts w:cs="Arial"/>
                <w:snapToGrid w:val="0"/>
                <w:szCs w:val="24"/>
              </w:rPr>
            </w:pPr>
            <w:r w:rsidRPr="00ED5AD0">
              <w:rPr>
                <w:rFonts w:cs="Arial"/>
                <w:snapToGrid w:val="0"/>
                <w:szCs w:val="24"/>
              </w:rPr>
              <w:t>Band 8</w:t>
            </w:r>
          </w:p>
        </w:tc>
        <w:tc>
          <w:tcPr>
            <w:tcW w:w="1438" w:type="dxa"/>
            <w:tcBorders>
              <w:left w:val="single" w:sz="6" w:space="0" w:color="auto"/>
              <w:right w:val="single" w:sz="6" w:space="0" w:color="auto"/>
            </w:tcBorders>
          </w:tcPr>
          <w:p w14:paraId="2C12E1FF" w14:textId="77777777" w:rsidR="00F247C8" w:rsidRPr="00ED5AD0" w:rsidRDefault="00D67126" w:rsidP="00D67126">
            <w:pPr>
              <w:widowControl w:val="0"/>
              <w:jc w:val="center"/>
              <w:rPr>
                <w:rFonts w:cs="Arial"/>
                <w:snapToGrid w:val="0"/>
                <w:szCs w:val="24"/>
              </w:rPr>
            </w:pPr>
            <w:r w:rsidRPr="00ED5AD0">
              <w:rPr>
                <w:rFonts w:cs="Arial"/>
                <w:snapToGrid w:val="0"/>
                <w:szCs w:val="24"/>
              </w:rPr>
              <w:t>26</w:t>
            </w:r>
          </w:p>
        </w:tc>
        <w:tc>
          <w:tcPr>
            <w:tcW w:w="1771" w:type="dxa"/>
            <w:tcBorders>
              <w:right w:val="single" w:sz="6" w:space="0" w:color="auto"/>
            </w:tcBorders>
          </w:tcPr>
          <w:p w14:paraId="6B74AD41" w14:textId="77777777" w:rsidR="00F247C8" w:rsidRPr="00ED5AD0" w:rsidRDefault="00D67126" w:rsidP="00224337">
            <w:pPr>
              <w:widowControl w:val="0"/>
              <w:jc w:val="center"/>
              <w:rPr>
                <w:rFonts w:cs="Arial"/>
                <w:snapToGrid w:val="0"/>
                <w:szCs w:val="24"/>
              </w:rPr>
            </w:pPr>
            <w:r w:rsidRPr="00ED5AD0">
              <w:rPr>
                <w:rFonts w:cs="Arial"/>
                <w:snapToGrid w:val="0"/>
                <w:szCs w:val="24"/>
              </w:rPr>
              <w:t>28</w:t>
            </w:r>
          </w:p>
        </w:tc>
        <w:tc>
          <w:tcPr>
            <w:tcW w:w="168" w:type="dxa"/>
          </w:tcPr>
          <w:p w14:paraId="76278A99" w14:textId="77777777" w:rsidR="00F247C8" w:rsidRPr="00ED5AD0" w:rsidRDefault="00F247C8" w:rsidP="008F6A10">
            <w:pPr>
              <w:widowControl w:val="0"/>
              <w:rPr>
                <w:rFonts w:cs="Arial"/>
                <w:snapToGrid w:val="0"/>
                <w:szCs w:val="24"/>
              </w:rPr>
            </w:pPr>
          </w:p>
        </w:tc>
      </w:tr>
      <w:tr w:rsidR="00F247C8" w:rsidRPr="00ED5AD0" w14:paraId="77DC4BE5" w14:textId="77777777" w:rsidTr="00EF3710">
        <w:trPr>
          <w:trHeight w:val="224"/>
        </w:trPr>
        <w:tc>
          <w:tcPr>
            <w:tcW w:w="1436" w:type="dxa"/>
            <w:tcBorders>
              <w:left w:val="single" w:sz="6" w:space="0" w:color="auto"/>
              <w:right w:val="single" w:sz="6" w:space="0" w:color="auto"/>
            </w:tcBorders>
          </w:tcPr>
          <w:p w14:paraId="395BD7DE" w14:textId="77777777" w:rsidR="00F247C8" w:rsidRPr="00ED5AD0" w:rsidRDefault="00F247C8" w:rsidP="008F6A10">
            <w:pPr>
              <w:widowControl w:val="0"/>
              <w:jc w:val="center"/>
              <w:rPr>
                <w:rFonts w:cs="Arial"/>
                <w:snapToGrid w:val="0"/>
                <w:szCs w:val="24"/>
              </w:rPr>
            </w:pPr>
            <w:r w:rsidRPr="00ED5AD0">
              <w:rPr>
                <w:rFonts w:cs="Arial"/>
                <w:snapToGrid w:val="0"/>
                <w:szCs w:val="24"/>
              </w:rPr>
              <w:t>541</w:t>
            </w:r>
          </w:p>
        </w:tc>
        <w:tc>
          <w:tcPr>
            <w:tcW w:w="1436" w:type="dxa"/>
            <w:tcBorders>
              <w:left w:val="single" w:sz="6" w:space="0" w:color="auto"/>
              <w:right w:val="single" w:sz="6" w:space="0" w:color="auto"/>
            </w:tcBorders>
          </w:tcPr>
          <w:p w14:paraId="13754481" w14:textId="77777777" w:rsidR="00F247C8" w:rsidRPr="00ED5AD0" w:rsidRDefault="00F247C8" w:rsidP="008F6A10">
            <w:pPr>
              <w:widowControl w:val="0"/>
              <w:jc w:val="center"/>
              <w:rPr>
                <w:rFonts w:cs="Arial"/>
                <w:snapToGrid w:val="0"/>
                <w:szCs w:val="24"/>
              </w:rPr>
            </w:pPr>
            <w:r w:rsidRPr="00ED5AD0">
              <w:rPr>
                <w:rFonts w:cs="Arial"/>
                <w:snapToGrid w:val="0"/>
                <w:szCs w:val="24"/>
              </w:rPr>
              <w:t>580</w:t>
            </w:r>
          </w:p>
        </w:tc>
        <w:tc>
          <w:tcPr>
            <w:tcW w:w="421" w:type="dxa"/>
            <w:tcBorders>
              <w:left w:val="single" w:sz="6" w:space="0" w:color="auto"/>
            </w:tcBorders>
          </w:tcPr>
          <w:p w14:paraId="14D1CF13"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5001C6F2" w14:textId="77777777" w:rsidR="00F247C8" w:rsidRPr="00ED5AD0" w:rsidRDefault="00F247C8" w:rsidP="008F6A10">
            <w:pPr>
              <w:widowControl w:val="0"/>
              <w:rPr>
                <w:rFonts w:cs="Arial"/>
                <w:snapToGrid w:val="0"/>
                <w:szCs w:val="24"/>
              </w:rPr>
            </w:pPr>
            <w:r w:rsidRPr="00ED5AD0">
              <w:rPr>
                <w:rFonts w:cs="Arial"/>
                <w:snapToGrid w:val="0"/>
                <w:szCs w:val="24"/>
              </w:rPr>
              <w:t>Band 9</w:t>
            </w:r>
          </w:p>
        </w:tc>
        <w:tc>
          <w:tcPr>
            <w:tcW w:w="1438" w:type="dxa"/>
            <w:tcBorders>
              <w:left w:val="single" w:sz="6" w:space="0" w:color="auto"/>
              <w:right w:val="single" w:sz="6" w:space="0" w:color="auto"/>
            </w:tcBorders>
          </w:tcPr>
          <w:p w14:paraId="6F3A10D8" w14:textId="77777777" w:rsidR="00F247C8" w:rsidRPr="00ED5AD0" w:rsidRDefault="00D67126" w:rsidP="00224337">
            <w:pPr>
              <w:widowControl w:val="0"/>
              <w:jc w:val="center"/>
              <w:rPr>
                <w:rFonts w:cs="Arial"/>
                <w:snapToGrid w:val="0"/>
                <w:szCs w:val="24"/>
              </w:rPr>
            </w:pPr>
            <w:r w:rsidRPr="00ED5AD0">
              <w:rPr>
                <w:rFonts w:cs="Arial"/>
                <w:snapToGrid w:val="0"/>
                <w:szCs w:val="24"/>
              </w:rPr>
              <w:t>29</w:t>
            </w:r>
          </w:p>
        </w:tc>
        <w:tc>
          <w:tcPr>
            <w:tcW w:w="1771" w:type="dxa"/>
            <w:tcBorders>
              <w:right w:val="single" w:sz="6" w:space="0" w:color="auto"/>
            </w:tcBorders>
          </w:tcPr>
          <w:p w14:paraId="21A533FE" w14:textId="77777777" w:rsidR="00F247C8" w:rsidRPr="00ED5AD0" w:rsidRDefault="00D67126" w:rsidP="00224337">
            <w:pPr>
              <w:widowControl w:val="0"/>
              <w:jc w:val="center"/>
              <w:rPr>
                <w:rFonts w:cs="Arial"/>
                <w:snapToGrid w:val="0"/>
                <w:szCs w:val="24"/>
              </w:rPr>
            </w:pPr>
            <w:r w:rsidRPr="00ED5AD0">
              <w:rPr>
                <w:rFonts w:cs="Arial"/>
                <w:snapToGrid w:val="0"/>
                <w:szCs w:val="24"/>
              </w:rPr>
              <w:t>31</w:t>
            </w:r>
          </w:p>
        </w:tc>
        <w:tc>
          <w:tcPr>
            <w:tcW w:w="168" w:type="dxa"/>
          </w:tcPr>
          <w:p w14:paraId="59C8651F" w14:textId="77777777" w:rsidR="00F247C8" w:rsidRPr="00ED5AD0" w:rsidRDefault="00F247C8" w:rsidP="008F6A10">
            <w:pPr>
              <w:widowControl w:val="0"/>
              <w:rPr>
                <w:rFonts w:cs="Arial"/>
                <w:snapToGrid w:val="0"/>
                <w:szCs w:val="24"/>
              </w:rPr>
            </w:pPr>
          </w:p>
        </w:tc>
      </w:tr>
      <w:tr w:rsidR="00F247C8" w:rsidRPr="00ED5AD0" w14:paraId="40DABBED" w14:textId="77777777" w:rsidTr="00EF3710">
        <w:trPr>
          <w:trHeight w:val="224"/>
        </w:trPr>
        <w:tc>
          <w:tcPr>
            <w:tcW w:w="1436" w:type="dxa"/>
            <w:tcBorders>
              <w:left w:val="single" w:sz="6" w:space="0" w:color="auto"/>
              <w:right w:val="single" w:sz="6" w:space="0" w:color="auto"/>
            </w:tcBorders>
          </w:tcPr>
          <w:p w14:paraId="59589723" w14:textId="77777777" w:rsidR="00F247C8" w:rsidRPr="00ED5AD0" w:rsidRDefault="00F247C8" w:rsidP="008F6A10">
            <w:pPr>
              <w:widowControl w:val="0"/>
              <w:jc w:val="center"/>
              <w:rPr>
                <w:rFonts w:cs="Arial"/>
                <w:snapToGrid w:val="0"/>
                <w:szCs w:val="24"/>
              </w:rPr>
            </w:pPr>
            <w:r w:rsidRPr="00ED5AD0">
              <w:rPr>
                <w:rFonts w:cs="Arial"/>
                <w:snapToGrid w:val="0"/>
                <w:szCs w:val="24"/>
              </w:rPr>
              <w:t>581</w:t>
            </w:r>
          </w:p>
        </w:tc>
        <w:tc>
          <w:tcPr>
            <w:tcW w:w="1436" w:type="dxa"/>
            <w:tcBorders>
              <w:left w:val="single" w:sz="6" w:space="0" w:color="auto"/>
              <w:right w:val="single" w:sz="6" w:space="0" w:color="auto"/>
            </w:tcBorders>
          </w:tcPr>
          <w:p w14:paraId="36AAF8CD" w14:textId="77777777" w:rsidR="00F247C8" w:rsidRPr="00ED5AD0" w:rsidRDefault="00F247C8" w:rsidP="008F6A10">
            <w:pPr>
              <w:widowControl w:val="0"/>
              <w:jc w:val="center"/>
              <w:rPr>
                <w:rFonts w:cs="Arial"/>
                <w:snapToGrid w:val="0"/>
                <w:szCs w:val="24"/>
              </w:rPr>
            </w:pPr>
            <w:r w:rsidRPr="00ED5AD0">
              <w:rPr>
                <w:rFonts w:cs="Arial"/>
                <w:snapToGrid w:val="0"/>
                <w:szCs w:val="24"/>
              </w:rPr>
              <w:t>620</w:t>
            </w:r>
          </w:p>
        </w:tc>
        <w:tc>
          <w:tcPr>
            <w:tcW w:w="421" w:type="dxa"/>
            <w:tcBorders>
              <w:left w:val="single" w:sz="6" w:space="0" w:color="auto"/>
            </w:tcBorders>
          </w:tcPr>
          <w:p w14:paraId="58179734"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1C1091B7" w14:textId="77777777" w:rsidR="00F247C8" w:rsidRPr="00ED5AD0" w:rsidRDefault="00F247C8" w:rsidP="008F6A10">
            <w:pPr>
              <w:widowControl w:val="0"/>
              <w:rPr>
                <w:rFonts w:cs="Arial"/>
                <w:snapToGrid w:val="0"/>
                <w:szCs w:val="24"/>
              </w:rPr>
            </w:pPr>
            <w:r w:rsidRPr="00ED5AD0">
              <w:rPr>
                <w:rFonts w:cs="Arial"/>
                <w:snapToGrid w:val="0"/>
                <w:szCs w:val="24"/>
              </w:rPr>
              <w:t>Band 10</w:t>
            </w:r>
          </w:p>
        </w:tc>
        <w:tc>
          <w:tcPr>
            <w:tcW w:w="1438" w:type="dxa"/>
            <w:tcBorders>
              <w:left w:val="single" w:sz="6" w:space="0" w:color="auto"/>
              <w:right w:val="single" w:sz="6" w:space="0" w:color="auto"/>
            </w:tcBorders>
          </w:tcPr>
          <w:p w14:paraId="42B2DB91" w14:textId="77777777" w:rsidR="00F247C8" w:rsidRPr="00ED5AD0" w:rsidRDefault="00D67126" w:rsidP="00224337">
            <w:pPr>
              <w:widowControl w:val="0"/>
              <w:jc w:val="center"/>
              <w:rPr>
                <w:rFonts w:cs="Arial"/>
                <w:snapToGrid w:val="0"/>
                <w:szCs w:val="24"/>
              </w:rPr>
            </w:pPr>
            <w:r w:rsidRPr="00ED5AD0">
              <w:rPr>
                <w:rFonts w:cs="Arial"/>
                <w:snapToGrid w:val="0"/>
                <w:szCs w:val="24"/>
              </w:rPr>
              <w:t>33</w:t>
            </w:r>
          </w:p>
        </w:tc>
        <w:tc>
          <w:tcPr>
            <w:tcW w:w="1771" w:type="dxa"/>
            <w:tcBorders>
              <w:right w:val="single" w:sz="6" w:space="0" w:color="auto"/>
            </w:tcBorders>
          </w:tcPr>
          <w:p w14:paraId="629E2B75" w14:textId="77777777" w:rsidR="00F247C8" w:rsidRPr="00ED5AD0" w:rsidRDefault="00D67126" w:rsidP="00224337">
            <w:pPr>
              <w:widowControl w:val="0"/>
              <w:jc w:val="center"/>
              <w:rPr>
                <w:rFonts w:cs="Arial"/>
                <w:snapToGrid w:val="0"/>
                <w:szCs w:val="24"/>
              </w:rPr>
            </w:pPr>
            <w:r w:rsidRPr="00ED5AD0">
              <w:rPr>
                <w:rFonts w:cs="Arial"/>
                <w:snapToGrid w:val="0"/>
                <w:szCs w:val="24"/>
              </w:rPr>
              <w:t>35</w:t>
            </w:r>
          </w:p>
        </w:tc>
        <w:tc>
          <w:tcPr>
            <w:tcW w:w="168" w:type="dxa"/>
          </w:tcPr>
          <w:p w14:paraId="68F602EA" w14:textId="77777777" w:rsidR="00F247C8" w:rsidRPr="00ED5AD0" w:rsidRDefault="00F247C8" w:rsidP="008F6A10">
            <w:pPr>
              <w:widowControl w:val="0"/>
              <w:rPr>
                <w:rFonts w:cs="Arial"/>
                <w:snapToGrid w:val="0"/>
                <w:szCs w:val="24"/>
              </w:rPr>
            </w:pPr>
          </w:p>
        </w:tc>
      </w:tr>
      <w:tr w:rsidR="00F247C8" w:rsidRPr="00ED5AD0" w14:paraId="1C2552D5" w14:textId="77777777" w:rsidTr="00EF3710">
        <w:trPr>
          <w:trHeight w:val="237"/>
        </w:trPr>
        <w:tc>
          <w:tcPr>
            <w:tcW w:w="1436" w:type="dxa"/>
            <w:tcBorders>
              <w:left w:val="single" w:sz="6" w:space="0" w:color="auto"/>
              <w:right w:val="single" w:sz="6" w:space="0" w:color="auto"/>
            </w:tcBorders>
          </w:tcPr>
          <w:p w14:paraId="226842AC" w14:textId="77777777" w:rsidR="00F247C8" w:rsidRPr="00ED5AD0" w:rsidRDefault="00F247C8" w:rsidP="008F6A10">
            <w:pPr>
              <w:widowControl w:val="0"/>
              <w:jc w:val="center"/>
              <w:rPr>
                <w:rFonts w:cs="Arial"/>
                <w:snapToGrid w:val="0"/>
                <w:szCs w:val="24"/>
              </w:rPr>
            </w:pPr>
            <w:r w:rsidRPr="00ED5AD0">
              <w:rPr>
                <w:rFonts w:cs="Arial"/>
                <w:snapToGrid w:val="0"/>
                <w:szCs w:val="24"/>
              </w:rPr>
              <w:t>621</w:t>
            </w:r>
          </w:p>
        </w:tc>
        <w:tc>
          <w:tcPr>
            <w:tcW w:w="1436" w:type="dxa"/>
            <w:tcBorders>
              <w:left w:val="single" w:sz="6" w:space="0" w:color="auto"/>
              <w:right w:val="single" w:sz="6" w:space="0" w:color="auto"/>
            </w:tcBorders>
          </w:tcPr>
          <w:p w14:paraId="14D29694" w14:textId="77777777" w:rsidR="00F247C8" w:rsidRPr="00ED5AD0" w:rsidRDefault="00F247C8" w:rsidP="008F6A10">
            <w:pPr>
              <w:widowControl w:val="0"/>
              <w:jc w:val="center"/>
              <w:rPr>
                <w:rFonts w:cs="Arial"/>
                <w:snapToGrid w:val="0"/>
                <w:szCs w:val="24"/>
              </w:rPr>
            </w:pPr>
            <w:r w:rsidRPr="00ED5AD0">
              <w:rPr>
                <w:rFonts w:cs="Arial"/>
                <w:snapToGrid w:val="0"/>
                <w:szCs w:val="24"/>
              </w:rPr>
              <w:t>650</w:t>
            </w:r>
          </w:p>
        </w:tc>
        <w:tc>
          <w:tcPr>
            <w:tcW w:w="421" w:type="dxa"/>
            <w:tcBorders>
              <w:left w:val="single" w:sz="6" w:space="0" w:color="auto"/>
            </w:tcBorders>
          </w:tcPr>
          <w:p w14:paraId="6DE77A4A"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644B5082" w14:textId="77777777" w:rsidR="00F247C8" w:rsidRPr="00ED5AD0" w:rsidRDefault="00F247C8" w:rsidP="008F6A10">
            <w:pPr>
              <w:widowControl w:val="0"/>
              <w:rPr>
                <w:rFonts w:cs="Arial"/>
                <w:snapToGrid w:val="0"/>
                <w:szCs w:val="24"/>
              </w:rPr>
            </w:pPr>
            <w:r w:rsidRPr="00ED5AD0">
              <w:rPr>
                <w:rFonts w:cs="Arial"/>
                <w:snapToGrid w:val="0"/>
                <w:szCs w:val="24"/>
              </w:rPr>
              <w:t>Band 11</w:t>
            </w:r>
          </w:p>
        </w:tc>
        <w:tc>
          <w:tcPr>
            <w:tcW w:w="1438" w:type="dxa"/>
            <w:tcBorders>
              <w:left w:val="single" w:sz="6" w:space="0" w:color="auto"/>
              <w:right w:val="single" w:sz="6" w:space="0" w:color="auto"/>
            </w:tcBorders>
          </w:tcPr>
          <w:p w14:paraId="385C6D29" w14:textId="77777777" w:rsidR="00F247C8" w:rsidRPr="00ED5AD0" w:rsidRDefault="00D67126" w:rsidP="00224337">
            <w:pPr>
              <w:widowControl w:val="0"/>
              <w:jc w:val="center"/>
              <w:rPr>
                <w:rFonts w:cs="Arial"/>
                <w:snapToGrid w:val="0"/>
                <w:szCs w:val="24"/>
              </w:rPr>
            </w:pPr>
            <w:r w:rsidRPr="00ED5AD0">
              <w:rPr>
                <w:rFonts w:cs="Arial"/>
                <w:snapToGrid w:val="0"/>
                <w:szCs w:val="24"/>
              </w:rPr>
              <w:t>36</w:t>
            </w:r>
          </w:p>
        </w:tc>
        <w:tc>
          <w:tcPr>
            <w:tcW w:w="1771" w:type="dxa"/>
            <w:tcBorders>
              <w:right w:val="single" w:sz="6" w:space="0" w:color="auto"/>
            </w:tcBorders>
          </w:tcPr>
          <w:p w14:paraId="4CD480E1" w14:textId="77777777" w:rsidR="00F247C8" w:rsidRPr="00ED5AD0" w:rsidRDefault="00D67126" w:rsidP="00224337">
            <w:pPr>
              <w:widowControl w:val="0"/>
              <w:jc w:val="center"/>
              <w:rPr>
                <w:rFonts w:cs="Arial"/>
                <w:snapToGrid w:val="0"/>
                <w:szCs w:val="24"/>
              </w:rPr>
            </w:pPr>
            <w:r w:rsidRPr="00ED5AD0">
              <w:rPr>
                <w:rFonts w:cs="Arial"/>
                <w:snapToGrid w:val="0"/>
                <w:szCs w:val="24"/>
              </w:rPr>
              <w:t>38</w:t>
            </w:r>
          </w:p>
        </w:tc>
        <w:tc>
          <w:tcPr>
            <w:tcW w:w="168" w:type="dxa"/>
          </w:tcPr>
          <w:p w14:paraId="0F61206B" w14:textId="77777777" w:rsidR="00F247C8" w:rsidRPr="00ED5AD0" w:rsidRDefault="00F247C8" w:rsidP="008F6A10">
            <w:pPr>
              <w:widowControl w:val="0"/>
              <w:rPr>
                <w:rFonts w:cs="Arial"/>
                <w:snapToGrid w:val="0"/>
                <w:szCs w:val="24"/>
              </w:rPr>
            </w:pPr>
          </w:p>
        </w:tc>
      </w:tr>
      <w:tr w:rsidR="00F247C8" w:rsidRPr="00ED5AD0" w14:paraId="79F0C770" w14:textId="77777777" w:rsidTr="00EF3710">
        <w:trPr>
          <w:trHeight w:val="224"/>
        </w:trPr>
        <w:tc>
          <w:tcPr>
            <w:tcW w:w="1436" w:type="dxa"/>
            <w:tcBorders>
              <w:left w:val="single" w:sz="6" w:space="0" w:color="auto"/>
              <w:right w:val="single" w:sz="6" w:space="0" w:color="auto"/>
            </w:tcBorders>
          </w:tcPr>
          <w:p w14:paraId="5EE7846D" w14:textId="77777777" w:rsidR="00F247C8" w:rsidRPr="00ED5AD0" w:rsidRDefault="00F247C8" w:rsidP="008F6A10">
            <w:pPr>
              <w:widowControl w:val="0"/>
              <w:jc w:val="center"/>
              <w:rPr>
                <w:rFonts w:cs="Arial"/>
                <w:snapToGrid w:val="0"/>
                <w:szCs w:val="24"/>
              </w:rPr>
            </w:pPr>
            <w:r w:rsidRPr="00ED5AD0">
              <w:rPr>
                <w:rFonts w:cs="Arial"/>
                <w:snapToGrid w:val="0"/>
                <w:szCs w:val="24"/>
              </w:rPr>
              <w:t>651</w:t>
            </w:r>
          </w:p>
        </w:tc>
        <w:tc>
          <w:tcPr>
            <w:tcW w:w="1436" w:type="dxa"/>
            <w:tcBorders>
              <w:left w:val="single" w:sz="6" w:space="0" w:color="auto"/>
              <w:right w:val="single" w:sz="6" w:space="0" w:color="auto"/>
            </w:tcBorders>
          </w:tcPr>
          <w:p w14:paraId="72D03BA3" w14:textId="77777777" w:rsidR="00F247C8" w:rsidRPr="00ED5AD0" w:rsidRDefault="00F247C8" w:rsidP="008F6A10">
            <w:pPr>
              <w:widowControl w:val="0"/>
              <w:jc w:val="center"/>
              <w:rPr>
                <w:rFonts w:cs="Arial"/>
                <w:snapToGrid w:val="0"/>
                <w:szCs w:val="24"/>
              </w:rPr>
            </w:pPr>
            <w:r w:rsidRPr="00ED5AD0">
              <w:rPr>
                <w:rFonts w:cs="Arial"/>
                <w:snapToGrid w:val="0"/>
                <w:szCs w:val="24"/>
              </w:rPr>
              <w:t>695</w:t>
            </w:r>
          </w:p>
        </w:tc>
        <w:tc>
          <w:tcPr>
            <w:tcW w:w="421" w:type="dxa"/>
            <w:tcBorders>
              <w:left w:val="single" w:sz="6" w:space="0" w:color="auto"/>
            </w:tcBorders>
          </w:tcPr>
          <w:p w14:paraId="398CC796"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68D1AA91" w14:textId="77777777" w:rsidR="00F247C8" w:rsidRPr="00ED5AD0" w:rsidRDefault="00F247C8" w:rsidP="008F6A10">
            <w:pPr>
              <w:widowControl w:val="0"/>
              <w:rPr>
                <w:rFonts w:cs="Arial"/>
                <w:snapToGrid w:val="0"/>
                <w:szCs w:val="24"/>
              </w:rPr>
            </w:pPr>
            <w:r w:rsidRPr="00ED5AD0">
              <w:rPr>
                <w:rFonts w:cs="Arial"/>
                <w:snapToGrid w:val="0"/>
                <w:szCs w:val="24"/>
              </w:rPr>
              <w:t>Band 12</w:t>
            </w:r>
          </w:p>
        </w:tc>
        <w:tc>
          <w:tcPr>
            <w:tcW w:w="1438" w:type="dxa"/>
            <w:tcBorders>
              <w:left w:val="single" w:sz="6" w:space="0" w:color="auto"/>
              <w:right w:val="single" w:sz="6" w:space="0" w:color="auto"/>
            </w:tcBorders>
          </w:tcPr>
          <w:p w14:paraId="4E897E27" w14:textId="77777777" w:rsidR="00F247C8" w:rsidRPr="00ED5AD0" w:rsidRDefault="00D67126" w:rsidP="00224337">
            <w:pPr>
              <w:widowControl w:val="0"/>
              <w:jc w:val="center"/>
              <w:rPr>
                <w:rFonts w:cs="Arial"/>
                <w:snapToGrid w:val="0"/>
                <w:szCs w:val="24"/>
              </w:rPr>
            </w:pPr>
            <w:r w:rsidRPr="00ED5AD0">
              <w:rPr>
                <w:rFonts w:cs="Arial"/>
                <w:snapToGrid w:val="0"/>
                <w:szCs w:val="24"/>
              </w:rPr>
              <w:t>39</w:t>
            </w:r>
          </w:p>
        </w:tc>
        <w:tc>
          <w:tcPr>
            <w:tcW w:w="1771" w:type="dxa"/>
            <w:tcBorders>
              <w:right w:val="single" w:sz="6" w:space="0" w:color="auto"/>
            </w:tcBorders>
          </w:tcPr>
          <w:p w14:paraId="0BB97337" w14:textId="77777777" w:rsidR="00F247C8" w:rsidRPr="00ED5AD0" w:rsidRDefault="00D67126" w:rsidP="00224337">
            <w:pPr>
              <w:widowControl w:val="0"/>
              <w:jc w:val="center"/>
              <w:rPr>
                <w:rFonts w:cs="Arial"/>
                <w:snapToGrid w:val="0"/>
                <w:szCs w:val="24"/>
              </w:rPr>
            </w:pPr>
            <w:r w:rsidRPr="00ED5AD0">
              <w:rPr>
                <w:rFonts w:cs="Arial"/>
                <w:snapToGrid w:val="0"/>
                <w:szCs w:val="24"/>
              </w:rPr>
              <w:t>41</w:t>
            </w:r>
          </w:p>
        </w:tc>
        <w:tc>
          <w:tcPr>
            <w:tcW w:w="168" w:type="dxa"/>
          </w:tcPr>
          <w:p w14:paraId="6485BEAC" w14:textId="77777777" w:rsidR="00F247C8" w:rsidRPr="00ED5AD0" w:rsidRDefault="00F247C8" w:rsidP="008F6A10">
            <w:pPr>
              <w:widowControl w:val="0"/>
              <w:rPr>
                <w:rFonts w:cs="Arial"/>
                <w:snapToGrid w:val="0"/>
                <w:szCs w:val="24"/>
              </w:rPr>
            </w:pPr>
          </w:p>
        </w:tc>
      </w:tr>
      <w:tr w:rsidR="00F247C8" w:rsidRPr="00ED5AD0" w14:paraId="1AF92944" w14:textId="77777777" w:rsidTr="00EF3710">
        <w:trPr>
          <w:trHeight w:val="237"/>
        </w:trPr>
        <w:tc>
          <w:tcPr>
            <w:tcW w:w="1436" w:type="dxa"/>
            <w:tcBorders>
              <w:left w:val="single" w:sz="6" w:space="0" w:color="auto"/>
              <w:right w:val="single" w:sz="6" w:space="0" w:color="auto"/>
            </w:tcBorders>
          </w:tcPr>
          <w:p w14:paraId="252016AA" w14:textId="77777777" w:rsidR="00F247C8" w:rsidRPr="00ED5AD0" w:rsidRDefault="00F247C8" w:rsidP="008F6A10">
            <w:pPr>
              <w:widowControl w:val="0"/>
              <w:jc w:val="center"/>
              <w:rPr>
                <w:rFonts w:cs="Arial"/>
                <w:snapToGrid w:val="0"/>
                <w:szCs w:val="24"/>
              </w:rPr>
            </w:pPr>
            <w:r w:rsidRPr="00ED5AD0">
              <w:rPr>
                <w:rFonts w:cs="Arial"/>
                <w:snapToGrid w:val="0"/>
                <w:szCs w:val="24"/>
              </w:rPr>
              <w:t>696</w:t>
            </w:r>
          </w:p>
        </w:tc>
        <w:tc>
          <w:tcPr>
            <w:tcW w:w="1436" w:type="dxa"/>
            <w:tcBorders>
              <w:left w:val="single" w:sz="6" w:space="0" w:color="auto"/>
              <w:right w:val="single" w:sz="6" w:space="0" w:color="auto"/>
            </w:tcBorders>
          </w:tcPr>
          <w:p w14:paraId="5B123EB7" w14:textId="77777777" w:rsidR="00F247C8" w:rsidRPr="00ED5AD0" w:rsidRDefault="00F247C8" w:rsidP="008F6A10">
            <w:pPr>
              <w:widowControl w:val="0"/>
              <w:jc w:val="center"/>
              <w:rPr>
                <w:rFonts w:cs="Arial"/>
                <w:snapToGrid w:val="0"/>
                <w:szCs w:val="24"/>
              </w:rPr>
            </w:pPr>
            <w:r w:rsidRPr="00ED5AD0">
              <w:rPr>
                <w:rFonts w:cs="Arial"/>
                <w:snapToGrid w:val="0"/>
                <w:szCs w:val="24"/>
              </w:rPr>
              <w:t>735</w:t>
            </w:r>
          </w:p>
        </w:tc>
        <w:tc>
          <w:tcPr>
            <w:tcW w:w="421" w:type="dxa"/>
            <w:tcBorders>
              <w:left w:val="single" w:sz="6" w:space="0" w:color="auto"/>
            </w:tcBorders>
          </w:tcPr>
          <w:p w14:paraId="65FCCCD8" w14:textId="77777777" w:rsidR="00F247C8" w:rsidRPr="00ED5AD0" w:rsidRDefault="00F247C8" w:rsidP="008F6A10">
            <w:pPr>
              <w:widowControl w:val="0"/>
              <w:rPr>
                <w:rFonts w:cs="Arial"/>
                <w:snapToGrid w:val="0"/>
                <w:szCs w:val="24"/>
              </w:rPr>
            </w:pPr>
          </w:p>
        </w:tc>
        <w:tc>
          <w:tcPr>
            <w:tcW w:w="1436" w:type="dxa"/>
            <w:tcBorders>
              <w:right w:val="single" w:sz="6" w:space="0" w:color="auto"/>
            </w:tcBorders>
          </w:tcPr>
          <w:p w14:paraId="2E4B568F" w14:textId="77777777" w:rsidR="00F247C8" w:rsidRPr="00ED5AD0" w:rsidRDefault="00F247C8" w:rsidP="008F6A10">
            <w:pPr>
              <w:widowControl w:val="0"/>
              <w:rPr>
                <w:rFonts w:cs="Arial"/>
                <w:snapToGrid w:val="0"/>
                <w:szCs w:val="24"/>
              </w:rPr>
            </w:pPr>
            <w:r w:rsidRPr="00ED5AD0">
              <w:rPr>
                <w:rFonts w:cs="Arial"/>
                <w:snapToGrid w:val="0"/>
                <w:szCs w:val="24"/>
              </w:rPr>
              <w:t>Band 13</w:t>
            </w:r>
          </w:p>
        </w:tc>
        <w:tc>
          <w:tcPr>
            <w:tcW w:w="1438" w:type="dxa"/>
            <w:tcBorders>
              <w:left w:val="single" w:sz="6" w:space="0" w:color="auto"/>
              <w:right w:val="single" w:sz="6" w:space="0" w:color="auto"/>
            </w:tcBorders>
          </w:tcPr>
          <w:p w14:paraId="1B44687E" w14:textId="77777777" w:rsidR="00F247C8" w:rsidRPr="00ED5AD0" w:rsidRDefault="00D67126" w:rsidP="00224337">
            <w:pPr>
              <w:widowControl w:val="0"/>
              <w:jc w:val="center"/>
              <w:rPr>
                <w:rFonts w:cs="Arial"/>
                <w:snapToGrid w:val="0"/>
                <w:szCs w:val="24"/>
              </w:rPr>
            </w:pPr>
            <w:r w:rsidRPr="00ED5AD0">
              <w:rPr>
                <w:rFonts w:cs="Arial"/>
                <w:snapToGrid w:val="0"/>
                <w:szCs w:val="24"/>
              </w:rPr>
              <w:t>42</w:t>
            </w:r>
          </w:p>
        </w:tc>
        <w:tc>
          <w:tcPr>
            <w:tcW w:w="1771" w:type="dxa"/>
            <w:tcBorders>
              <w:right w:val="single" w:sz="6" w:space="0" w:color="auto"/>
            </w:tcBorders>
          </w:tcPr>
          <w:p w14:paraId="2A697A9F" w14:textId="77777777" w:rsidR="00F247C8" w:rsidRPr="00ED5AD0" w:rsidRDefault="00D67126" w:rsidP="00224337">
            <w:pPr>
              <w:widowControl w:val="0"/>
              <w:jc w:val="center"/>
              <w:rPr>
                <w:rFonts w:cs="Arial"/>
                <w:snapToGrid w:val="0"/>
                <w:szCs w:val="24"/>
              </w:rPr>
            </w:pPr>
            <w:r w:rsidRPr="00ED5AD0">
              <w:rPr>
                <w:rFonts w:cs="Arial"/>
                <w:snapToGrid w:val="0"/>
                <w:szCs w:val="24"/>
              </w:rPr>
              <w:t>50</w:t>
            </w:r>
          </w:p>
        </w:tc>
        <w:tc>
          <w:tcPr>
            <w:tcW w:w="168" w:type="dxa"/>
          </w:tcPr>
          <w:p w14:paraId="2B91FF3A" w14:textId="77777777" w:rsidR="00F247C8" w:rsidRPr="00ED5AD0" w:rsidRDefault="00F247C8" w:rsidP="008F6A10">
            <w:pPr>
              <w:widowControl w:val="0"/>
              <w:rPr>
                <w:rFonts w:cs="Arial"/>
                <w:snapToGrid w:val="0"/>
                <w:szCs w:val="24"/>
              </w:rPr>
            </w:pPr>
          </w:p>
        </w:tc>
      </w:tr>
      <w:tr w:rsidR="00F247C8" w:rsidRPr="00ED5AD0" w14:paraId="6D4AE4C5" w14:textId="77777777" w:rsidTr="00EF3710">
        <w:trPr>
          <w:trHeight w:val="224"/>
        </w:trPr>
        <w:tc>
          <w:tcPr>
            <w:tcW w:w="1436" w:type="dxa"/>
            <w:tcBorders>
              <w:left w:val="single" w:sz="6" w:space="0" w:color="auto"/>
              <w:bottom w:val="single" w:sz="6" w:space="0" w:color="auto"/>
              <w:right w:val="single" w:sz="6" w:space="0" w:color="auto"/>
            </w:tcBorders>
          </w:tcPr>
          <w:p w14:paraId="63B0DD55" w14:textId="77777777" w:rsidR="00F247C8" w:rsidRPr="00ED5AD0" w:rsidRDefault="00F247C8" w:rsidP="008F6A10">
            <w:pPr>
              <w:widowControl w:val="0"/>
              <w:jc w:val="center"/>
              <w:rPr>
                <w:rFonts w:cs="Arial"/>
                <w:snapToGrid w:val="0"/>
                <w:szCs w:val="24"/>
              </w:rPr>
            </w:pPr>
            <w:r w:rsidRPr="00ED5AD0">
              <w:rPr>
                <w:rFonts w:cs="Arial"/>
                <w:snapToGrid w:val="0"/>
                <w:szCs w:val="24"/>
              </w:rPr>
              <w:t>736</w:t>
            </w:r>
          </w:p>
        </w:tc>
        <w:tc>
          <w:tcPr>
            <w:tcW w:w="1436" w:type="dxa"/>
            <w:tcBorders>
              <w:left w:val="single" w:sz="6" w:space="0" w:color="auto"/>
              <w:bottom w:val="single" w:sz="6" w:space="0" w:color="auto"/>
              <w:right w:val="single" w:sz="6" w:space="0" w:color="auto"/>
            </w:tcBorders>
          </w:tcPr>
          <w:p w14:paraId="1327F899" w14:textId="77777777" w:rsidR="00F247C8" w:rsidRPr="00ED5AD0" w:rsidRDefault="00F247C8" w:rsidP="008F6A10">
            <w:pPr>
              <w:widowControl w:val="0"/>
              <w:jc w:val="center"/>
              <w:rPr>
                <w:rFonts w:cs="Arial"/>
                <w:snapToGrid w:val="0"/>
                <w:szCs w:val="24"/>
              </w:rPr>
            </w:pPr>
            <w:r w:rsidRPr="00ED5AD0">
              <w:rPr>
                <w:rFonts w:cs="Arial"/>
                <w:snapToGrid w:val="0"/>
                <w:szCs w:val="24"/>
              </w:rPr>
              <w:t>800</w:t>
            </w:r>
          </w:p>
        </w:tc>
        <w:tc>
          <w:tcPr>
            <w:tcW w:w="421" w:type="dxa"/>
            <w:tcBorders>
              <w:left w:val="single" w:sz="6" w:space="0" w:color="auto"/>
              <w:bottom w:val="single" w:sz="6" w:space="0" w:color="auto"/>
            </w:tcBorders>
          </w:tcPr>
          <w:p w14:paraId="7F78BC93" w14:textId="77777777" w:rsidR="00F247C8" w:rsidRPr="00ED5AD0" w:rsidRDefault="00F247C8" w:rsidP="008F6A10">
            <w:pPr>
              <w:widowControl w:val="0"/>
              <w:rPr>
                <w:rFonts w:cs="Arial"/>
                <w:snapToGrid w:val="0"/>
                <w:szCs w:val="24"/>
              </w:rPr>
            </w:pPr>
          </w:p>
        </w:tc>
        <w:tc>
          <w:tcPr>
            <w:tcW w:w="1436" w:type="dxa"/>
            <w:tcBorders>
              <w:bottom w:val="single" w:sz="6" w:space="0" w:color="auto"/>
              <w:right w:val="single" w:sz="6" w:space="0" w:color="auto"/>
            </w:tcBorders>
          </w:tcPr>
          <w:p w14:paraId="55E7600B" w14:textId="77777777" w:rsidR="00F247C8" w:rsidRPr="00ED5AD0" w:rsidRDefault="00F247C8" w:rsidP="008F6A10">
            <w:pPr>
              <w:widowControl w:val="0"/>
              <w:rPr>
                <w:rFonts w:cs="Arial"/>
                <w:snapToGrid w:val="0"/>
                <w:szCs w:val="24"/>
              </w:rPr>
            </w:pPr>
            <w:r w:rsidRPr="00ED5AD0">
              <w:rPr>
                <w:rFonts w:cs="Arial"/>
                <w:snapToGrid w:val="0"/>
                <w:szCs w:val="24"/>
              </w:rPr>
              <w:t>Band 14</w:t>
            </w:r>
          </w:p>
        </w:tc>
        <w:tc>
          <w:tcPr>
            <w:tcW w:w="1438" w:type="dxa"/>
            <w:tcBorders>
              <w:left w:val="single" w:sz="6" w:space="0" w:color="auto"/>
              <w:bottom w:val="single" w:sz="6" w:space="0" w:color="auto"/>
              <w:right w:val="single" w:sz="6" w:space="0" w:color="auto"/>
            </w:tcBorders>
          </w:tcPr>
          <w:p w14:paraId="285C5D97" w14:textId="77777777" w:rsidR="00F247C8" w:rsidRPr="00ED5AD0" w:rsidRDefault="00224337" w:rsidP="00224337">
            <w:pPr>
              <w:widowControl w:val="0"/>
              <w:jc w:val="center"/>
              <w:rPr>
                <w:rFonts w:cs="Arial"/>
                <w:snapToGrid w:val="0"/>
                <w:szCs w:val="24"/>
              </w:rPr>
            </w:pPr>
            <w:r w:rsidRPr="00ED5AD0">
              <w:rPr>
                <w:rFonts w:cs="Arial"/>
                <w:snapToGrid w:val="0"/>
                <w:szCs w:val="24"/>
              </w:rPr>
              <w:t>54</w:t>
            </w:r>
          </w:p>
        </w:tc>
        <w:tc>
          <w:tcPr>
            <w:tcW w:w="1771" w:type="dxa"/>
            <w:tcBorders>
              <w:bottom w:val="single" w:sz="6" w:space="0" w:color="auto"/>
              <w:right w:val="single" w:sz="6" w:space="0" w:color="auto"/>
            </w:tcBorders>
          </w:tcPr>
          <w:p w14:paraId="7A7F2A4A" w14:textId="77777777" w:rsidR="00F247C8" w:rsidRPr="00ED5AD0" w:rsidRDefault="00224337" w:rsidP="008F6A10">
            <w:pPr>
              <w:widowControl w:val="0"/>
              <w:jc w:val="center"/>
              <w:rPr>
                <w:rFonts w:cs="Arial"/>
                <w:snapToGrid w:val="0"/>
                <w:szCs w:val="24"/>
              </w:rPr>
            </w:pPr>
            <w:r w:rsidRPr="00ED5AD0">
              <w:rPr>
                <w:rFonts w:cs="Arial"/>
                <w:snapToGrid w:val="0"/>
                <w:szCs w:val="24"/>
              </w:rPr>
              <w:t>56</w:t>
            </w:r>
          </w:p>
        </w:tc>
        <w:tc>
          <w:tcPr>
            <w:tcW w:w="168" w:type="dxa"/>
          </w:tcPr>
          <w:p w14:paraId="7B86612D" w14:textId="77777777" w:rsidR="00F247C8" w:rsidRPr="00ED5AD0" w:rsidRDefault="00F247C8" w:rsidP="008F6A10">
            <w:pPr>
              <w:widowControl w:val="0"/>
              <w:rPr>
                <w:rFonts w:cs="Arial"/>
                <w:snapToGrid w:val="0"/>
                <w:szCs w:val="24"/>
              </w:rPr>
            </w:pPr>
          </w:p>
        </w:tc>
      </w:tr>
      <w:tr w:rsidR="00F247C8" w:rsidRPr="00ED5AD0" w14:paraId="4CF8B029" w14:textId="77777777" w:rsidTr="00EF3710">
        <w:trPr>
          <w:trHeight w:val="224"/>
        </w:trPr>
        <w:tc>
          <w:tcPr>
            <w:tcW w:w="1436" w:type="dxa"/>
          </w:tcPr>
          <w:p w14:paraId="6D374948" w14:textId="77777777" w:rsidR="00F247C8" w:rsidRPr="00ED5AD0" w:rsidRDefault="00F247C8" w:rsidP="008F6A10">
            <w:pPr>
              <w:widowControl w:val="0"/>
              <w:rPr>
                <w:snapToGrid w:val="0"/>
              </w:rPr>
            </w:pPr>
          </w:p>
        </w:tc>
        <w:tc>
          <w:tcPr>
            <w:tcW w:w="1436" w:type="dxa"/>
          </w:tcPr>
          <w:p w14:paraId="7D0348C3" w14:textId="77777777" w:rsidR="00F247C8" w:rsidRPr="00ED5AD0" w:rsidRDefault="00F247C8" w:rsidP="008F6A10">
            <w:pPr>
              <w:widowControl w:val="0"/>
              <w:rPr>
                <w:snapToGrid w:val="0"/>
              </w:rPr>
            </w:pPr>
          </w:p>
        </w:tc>
        <w:tc>
          <w:tcPr>
            <w:tcW w:w="421" w:type="dxa"/>
          </w:tcPr>
          <w:p w14:paraId="020B598E" w14:textId="77777777" w:rsidR="00F247C8" w:rsidRPr="00ED5AD0" w:rsidRDefault="00F247C8" w:rsidP="008F6A10">
            <w:pPr>
              <w:widowControl w:val="0"/>
              <w:rPr>
                <w:snapToGrid w:val="0"/>
              </w:rPr>
            </w:pPr>
          </w:p>
        </w:tc>
        <w:tc>
          <w:tcPr>
            <w:tcW w:w="1436" w:type="dxa"/>
          </w:tcPr>
          <w:p w14:paraId="087741AE" w14:textId="77777777" w:rsidR="00F247C8" w:rsidRPr="00ED5AD0" w:rsidRDefault="00F247C8" w:rsidP="008F6A10">
            <w:pPr>
              <w:widowControl w:val="0"/>
              <w:rPr>
                <w:snapToGrid w:val="0"/>
              </w:rPr>
            </w:pPr>
          </w:p>
        </w:tc>
        <w:tc>
          <w:tcPr>
            <w:tcW w:w="1438" w:type="dxa"/>
          </w:tcPr>
          <w:p w14:paraId="621F6051" w14:textId="77777777" w:rsidR="00F247C8" w:rsidRPr="00ED5AD0" w:rsidRDefault="00F247C8" w:rsidP="008F6A10">
            <w:pPr>
              <w:widowControl w:val="0"/>
              <w:rPr>
                <w:snapToGrid w:val="0"/>
              </w:rPr>
            </w:pPr>
          </w:p>
        </w:tc>
        <w:tc>
          <w:tcPr>
            <w:tcW w:w="1771" w:type="dxa"/>
          </w:tcPr>
          <w:p w14:paraId="68BEE56C" w14:textId="77777777" w:rsidR="00F247C8" w:rsidRPr="00ED5AD0" w:rsidRDefault="00F247C8" w:rsidP="008F6A10">
            <w:pPr>
              <w:widowControl w:val="0"/>
              <w:rPr>
                <w:snapToGrid w:val="0"/>
              </w:rPr>
            </w:pPr>
          </w:p>
        </w:tc>
        <w:tc>
          <w:tcPr>
            <w:tcW w:w="168" w:type="dxa"/>
          </w:tcPr>
          <w:p w14:paraId="7E744143" w14:textId="77777777" w:rsidR="00F247C8" w:rsidRPr="00ED5AD0" w:rsidRDefault="00F247C8" w:rsidP="008F6A10">
            <w:pPr>
              <w:widowControl w:val="0"/>
              <w:rPr>
                <w:snapToGrid w:val="0"/>
              </w:rPr>
            </w:pPr>
          </w:p>
        </w:tc>
      </w:tr>
      <w:tr w:rsidR="0076359F" w:rsidRPr="00ED5AD0" w14:paraId="0D52F491" w14:textId="77777777" w:rsidTr="00EF3710">
        <w:trPr>
          <w:trHeight w:val="224"/>
        </w:trPr>
        <w:tc>
          <w:tcPr>
            <w:tcW w:w="7938" w:type="dxa"/>
            <w:gridSpan w:val="6"/>
          </w:tcPr>
          <w:p w14:paraId="7B8AE271" w14:textId="54320847" w:rsidR="0076359F" w:rsidRPr="00ED5AD0" w:rsidRDefault="001C6A79" w:rsidP="001C6A79">
            <w:pPr>
              <w:widowControl w:val="0"/>
              <w:rPr>
                <w:snapToGrid w:val="0"/>
              </w:rPr>
            </w:pPr>
            <w:r w:rsidRPr="00ED5AD0">
              <w:rPr>
                <w:snapToGrid w:val="0"/>
              </w:rPr>
              <w:t xml:space="preserve">Band 1 is available as a training grade. Band </w:t>
            </w:r>
            <w:r w:rsidR="00EF3710" w:rsidRPr="00ED5AD0">
              <w:rPr>
                <w:snapToGrid w:val="0"/>
              </w:rPr>
              <w:t>3 (SCP5)</w:t>
            </w:r>
            <w:r w:rsidRPr="00ED5AD0">
              <w:rPr>
                <w:snapToGrid w:val="0"/>
              </w:rPr>
              <w:t xml:space="preserve"> is the minimum rate of pay for job evaluated posts. </w:t>
            </w:r>
            <w:r w:rsidR="00224337" w:rsidRPr="00ED5AD0">
              <w:rPr>
                <w:snapToGrid w:val="0"/>
              </w:rPr>
              <w:t xml:space="preserve"> </w:t>
            </w:r>
          </w:p>
        </w:tc>
        <w:tc>
          <w:tcPr>
            <w:tcW w:w="168" w:type="dxa"/>
          </w:tcPr>
          <w:p w14:paraId="1A1E092E" w14:textId="77777777" w:rsidR="0076359F" w:rsidRPr="00ED5AD0" w:rsidRDefault="0076359F" w:rsidP="008F6A10">
            <w:pPr>
              <w:widowControl w:val="0"/>
              <w:rPr>
                <w:snapToGrid w:val="0"/>
              </w:rPr>
            </w:pPr>
          </w:p>
        </w:tc>
      </w:tr>
    </w:tbl>
    <w:p w14:paraId="427D23C3" w14:textId="77777777" w:rsidR="003D19FA" w:rsidRPr="00ED5AD0" w:rsidRDefault="003D19FA" w:rsidP="00222CE1"/>
    <w:p w14:paraId="55D1B572" w14:textId="77777777" w:rsidR="00222CE1" w:rsidRPr="00ED5AD0" w:rsidRDefault="00222CE1" w:rsidP="00222CE1"/>
    <w:p w14:paraId="692ACCCC" w14:textId="77777777" w:rsidR="00DA3C2F" w:rsidRPr="00ED5AD0" w:rsidRDefault="00DA3C2F" w:rsidP="00222CE1">
      <w:pPr>
        <w:jc w:val="right"/>
        <w:sectPr w:rsidR="00DA3C2F" w:rsidRPr="00ED5AD0" w:rsidSect="003C05E8">
          <w:pgSz w:w="12240" w:h="15840"/>
          <w:pgMar w:top="567" w:right="758" w:bottom="568" w:left="1276" w:header="288" w:footer="720" w:gutter="0"/>
          <w:cols w:space="720"/>
          <w:docGrid w:linePitch="326"/>
        </w:sectPr>
      </w:pPr>
    </w:p>
    <w:p w14:paraId="29FFAE03" w14:textId="6131DD53" w:rsidR="00F16738" w:rsidRPr="00ED5AD0" w:rsidRDefault="0019479A" w:rsidP="00DA3C2F">
      <w:pPr>
        <w:spacing w:after="120"/>
      </w:pPr>
      <w:r w:rsidRPr="00ED5AD0">
        <w:rPr>
          <w:b/>
          <w:sz w:val="28"/>
          <w:szCs w:val="28"/>
        </w:rPr>
        <w:lastRenderedPageBreak/>
        <w:t xml:space="preserve">Assistant </w:t>
      </w:r>
      <w:r w:rsidR="005103EB" w:rsidRPr="00ED5AD0">
        <w:rPr>
          <w:b/>
          <w:sz w:val="28"/>
          <w:szCs w:val="28"/>
        </w:rPr>
        <w:t>Director</w:t>
      </w:r>
      <w:r w:rsidRPr="00ED5AD0">
        <w:rPr>
          <w:b/>
          <w:sz w:val="28"/>
          <w:szCs w:val="28"/>
        </w:rPr>
        <w:t xml:space="preserve"> </w:t>
      </w:r>
      <w:r w:rsidR="00DA3C2F" w:rsidRPr="00ED5AD0">
        <w:rPr>
          <w:b/>
          <w:sz w:val="28"/>
          <w:szCs w:val="28"/>
        </w:rPr>
        <w:t xml:space="preserve">- assessment model                                                                                                      </w:t>
      </w:r>
      <w:r w:rsidR="00BA7DD3" w:rsidRPr="00ED5AD0">
        <w:rPr>
          <w:b/>
          <w:bCs/>
        </w:rPr>
        <w:t xml:space="preserve">Appendix </w:t>
      </w:r>
      <w:r w:rsidRPr="00ED5AD0">
        <w:rPr>
          <w:b/>
          <w:bCs/>
        </w:rPr>
        <w:t>D</w:t>
      </w:r>
      <w:r w:rsidR="00BA7DD3" w:rsidRPr="00ED5AD0">
        <w:t xml:space="preserve"> </w:t>
      </w:r>
    </w:p>
    <w:p w14:paraId="50C38540" w14:textId="38FABB43" w:rsidR="00CC5F22" w:rsidRPr="00ED5AD0" w:rsidRDefault="00DA3C2F" w:rsidP="00DA3C2F">
      <w:pPr>
        <w:spacing w:after="120"/>
        <w:rPr>
          <w:b/>
        </w:rPr>
      </w:pPr>
      <w:r w:rsidRPr="00ED5AD0">
        <w:t xml:space="preserve">The assessment grid places each </w:t>
      </w:r>
      <w:r w:rsidR="0019479A" w:rsidRPr="00ED5AD0">
        <w:t xml:space="preserve">Assistant </w:t>
      </w:r>
      <w:r w:rsidR="005103EB" w:rsidRPr="00ED5AD0">
        <w:t>Director</w:t>
      </w:r>
      <w:r w:rsidRPr="00ED5AD0">
        <w:t xml:space="preserve"> post into one of three levels against five factors.</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4537"/>
        <w:gridCol w:w="4109"/>
      </w:tblGrid>
      <w:tr w:rsidR="00CC5F22" w:rsidRPr="00ED5AD0" w14:paraId="66A90D70" w14:textId="77777777" w:rsidTr="00DA3C2F">
        <w:tc>
          <w:tcPr>
            <w:tcW w:w="1418" w:type="dxa"/>
            <w:shd w:val="clear" w:color="auto" w:fill="auto"/>
          </w:tcPr>
          <w:p w14:paraId="77DBD21F" w14:textId="77777777" w:rsidR="00CC5F22" w:rsidRPr="00ED5AD0" w:rsidRDefault="00CC5F22" w:rsidP="005C51FA"/>
        </w:tc>
        <w:tc>
          <w:tcPr>
            <w:tcW w:w="4678" w:type="dxa"/>
            <w:shd w:val="clear" w:color="auto" w:fill="auto"/>
          </w:tcPr>
          <w:p w14:paraId="4718E25A" w14:textId="77777777" w:rsidR="00CC5F22" w:rsidRPr="00ED5AD0" w:rsidRDefault="00CC5F22" w:rsidP="005C51FA">
            <w:r w:rsidRPr="00ED5AD0">
              <w:t>High (level 1)</w:t>
            </w:r>
          </w:p>
        </w:tc>
        <w:tc>
          <w:tcPr>
            <w:tcW w:w="4537" w:type="dxa"/>
            <w:shd w:val="clear" w:color="auto" w:fill="auto"/>
          </w:tcPr>
          <w:p w14:paraId="20B07089" w14:textId="77777777" w:rsidR="00CC5F22" w:rsidRPr="00ED5AD0" w:rsidRDefault="00CC5F22" w:rsidP="005C51FA">
            <w:r w:rsidRPr="00ED5AD0">
              <w:t>Higher (level 2)</w:t>
            </w:r>
          </w:p>
        </w:tc>
        <w:tc>
          <w:tcPr>
            <w:tcW w:w="4109" w:type="dxa"/>
            <w:shd w:val="clear" w:color="auto" w:fill="auto"/>
          </w:tcPr>
          <w:p w14:paraId="2BDA0971" w14:textId="77777777" w:rsidR="00CC5F22" w:rsidRPr="00ED5AD0" w:rsidRDefault="00CC5F22" w:rsidP="005C51FA">
            <w:r w:rsidRPr="00ED5AD0">
              <w:t>Highest (level 3)</w:t>
            </w:r>
          </w:p>
        </w:tc>
      </w:tr>
      <w:tr w:rsidR="00CC5F22" w:rsidRPr="00ED5AD0" w14:paraId="1EECF97C" w14:textId="77777777" w:rsidTr="00DA3C2F">
        <w:tc>
          <w:tcPr>
            <w:tcW w:w="1418" w:type="dxa"/>
            <w:shd w:val="clear" w:color="auto" w:fill="auto"/>
          </w:tcPr>
          <w:p w14:paraId="7E757646" w14:textId="77777777" w:rsidR="00CC5F22" w:rsidRPr="00ED5AD0" w:rsidRDefault="00CC5F22" w:rsidP="005C51FA">
            <w:r w:rsidRPr="00ED5AD0">
              <w:t>General impact</w:t>
            </w:r>
          </w:p>
        </w:tc>
        <w:tc>
          <w:tcPr>
            <w:tcW w:w="4678" w:type="dxa"/>
            <w:shd w:val="clear" w:color="auto" w:fill="auto"/>
          </w:tcPr>
          <w:p w14:paraId="7B474D8B" w14:textId="77777777" w:rsidR="00CC5F22" w:rsidRPr="00ED5AD0" w:rsidRDefault="00CC5F22" w:rsidP="005C51FA">
            <w:r w:rsidRPr="00ED5AD0">
              <w:t xml:space="preserve">Decision-making is not often likely to be potentially contentious.  Decisions made are important to the operational aspects of service delivery but are mainly likely to have short-term or limited internal or external impact.  Limited or infrequent requirement to create or review substantial policies or processes.     </w:t>
            </w:r>
          </w:p>
        </w:tc>
        <w:tc>
          <w:tcPr>
            <w:tcW w:w="4537" w:type="dxa"/>
            <w:shd w:val="clear" w:color="auto" w:fill="auto"/>
          </w:tcPr>
          <w:p w14:paraId="7976BFE9" w14:textId="77777777" w:rsidR="00CC5F22" w:rsidRPr="00ED5AD0" w:rsidRDefault="00CC5F22" w:rsidP="005C51FA">
            <w:r w:rsidRPr="00ED5AD0">
              <w:t xml:space="preserve">There is a frequent need to take decisions that will potentially have substantial and long-term impact on the service area that have financial, operational or consequence.   </w:t>
            </w:r>
          </w:p>
        </w:tc>
        <w:tc>
          <w:tcPr>
            <w:tcW w:w="4109" w:type="dxa"/>
            <w:shd w:val="clear" w:color="auto" w:fill="auto"/>
          </w:tcPr>
          <w:p w14:paraId="5BAD3592" w14:textId="77777777" w:rsidR="00CC5F22" w:rsidRPr="00ED5AD0" w:rsidRDefault="00CC5F22" w:rsidP="005C51FA">
            <w:r w:rsidRPr="00ED5AD0">
              <w:t xml:space="preserve">There is a frequent need to take decisions that will potentially have substantial and long-term impact on the organisation (not just the service) that have financial, operational or l consequence.     </w:t>
            </w:r>
          </w:p>
        </w:tc>
      </w:tr>
      <w:tr w:rsidR="00CC5F22" w:rsidRPr="00ED5AD0" w14:paraId="02EB6C48" w14:textId="77777777" w:rsidTr="00DA3C2F">
        <w:tc>
          <w:tcPr>
            <w:tcW w:w="1418" w:type="dxa"/>
            <w:shd w:val="clear" w:color="auto" w:fill="auto"/>
          </w:tcPr>
          <w:p w14:paraId="042BBC8D" w14:textId="77777777" w:rsidR="00CC5F22" w:rsidRPr="00ED5AD0" w:rsidRDefault="00CC5F22" w:rsidP="005C51FA">
            <w:r w:rsidRPr="00ED5AD0">
              <w:t>Customer &amp; organisational impact</w:t>
            </w:r>
          </w:p>
        </w:tc>
        <w:tc>
          <w:tcPr>
            <w:tcW w:w="4678" w:type="dxa"/>
            <w:shd w:val="clear" w:color="auto" w:fill="auto"/>
          </w:tcPr>
          <w:p w14:paraId="1CED3109" w14:textId="77777777" w:rsidR="00CC5F22" w:rsidRPr="00ED5AD0" w:rsidRDefault="00CC5F22" w:rsidP="005C51FA">
            <w:r w:rsidRPr="00ED5AD0">
              <w:t>There is a requirement to contribute to corporate policies or procedures in respect of the service area only.</w:t>
            </w:r>
          </w:p>
        </w:tc>
        <w:tc>
          <w:tcPr>
            <w:tcW w:w="4537" w:type="dxa"/>
            <w:shd w:val="clear" w:color="auto" w:fill="auto"/>
          </w:tcPr>
          <w:p w14:paraId="527EE881" w14:textId="77777777" w:rsidR="00CC5F22" w:rsidRPr="00ED5AD0" w:rsidRDefault="00CC5F22" w:rsidP="005C51FA">
            <w:r w:rsidRPr="00ED5AD0">
              <w:t>There is some requirement to contribute to corporate policies or procedures.</w:t>
            </w:r>
          </w:p>
          <w:p w14:paraId="69AA8C94" w14:textId="77777777" w:rsidR="00CC5F22" w:rsidRPr="00ED5AD0" w:rsidRDefault="00CC5F22" w:rsidP="005C51FA">
            <w:r w:rsidRPr="00ED5AD0">
              <w:t>The job has significant political/reputational impact</w:t>
            </w:r>
          </w:p>
        </w:tc>
        <w:tc>
          <w:tcPr>
            <w:tcW w:w="4109" w:type="dxa"/>
            <w:shd w:val="clear" w:color="auto" w:fill="auto"/>
          </w:tcPr>
          <w:p w14:paraId="4EE0034C" w14:textId="77777777" w:rsidR="00CC5F22" w:rsidRPr="00ED5AD0" w:rsidRDefault="00CC5F22" w:rsidP="005C51FA">
            <w:r w:rsidRPr="00ED5AD0">
              <w:t xml:space="preserve">There is a strong focus on the contribution to corporate policies or </w:t>
            </w:r>
            <w:proofErr w:type="gramStart"/>
            <w:r w:rsidRPr="00ED5AD0">
              <w:t>The</w:t>
            </w:r>
            <w:proofErr w:type="gramEnd"/>
            <w:r w:rsidRPr="00ED5AD0">
              <w:t xml:space="preserve"> job has major political/reputational impact procedures.</w:t>
            </w:r>
          </w:p>
        </w:tc>
      </w:tr>
      <w:tr w:rsidR="00CC5F22" w:rsidRPr="00ED5AD0" w14:paraId="057596D9" w14:textId="77777777" w:rsidTr="00DA3C2F">
        <w:tc>
          <w:tcPr>
            <w:tcW w:w="1418" w:type="dxa"/>
            <w:shd w:val="clear" w:color="auto" w:fill="auto"/>
          </w:tcPr>
          <w:p w14:paraId="1CA5A853" w14:textId="77777777" w:rsidR="00CC5F22" w:rsidRPr="00ED5AD0" w:rsidRDefault="00CC5F22" w:rsidP="005C51FA">
            <w:r w:rsidRPr="00ED5AD0">
              <w:t>Complexity</w:t>
            </w:r>
          </w:p>
        </w:tc>
        <w:tc>
          <w:tcPr>
            <w:tcW w:w="4678" w:type="dxa"/>
            <w:shd w:val="clear" w:color="auto" w:fill="auto"/>
          </w:tcPr>
          <w:p w14:paraId="1A374B67" w14:textId="77777777" w:rsidR="00CC5F22" w:rsidRPr="00ED5AD0" w:rsidRDefault="00CC5F22" w:rsidP="005C51FA">
            <w:r w:rsidRPr="00ED5AD0">
              <w:t xml:space="preserve">The delivery of the service is largely operational and routine.  There is a need to work with other services or </w:t>
            </w:r>
            <w:proofErr w:type="gramStart"/>
            <w:r w:rsidRPr="00ED5AD0">
              <w:t>agencies</w:t>
            </w:r>
            <w:proofErr w:type="gramEnd"/>
            <w:r w:rsidRPr="00ED5AD0">
              <w:t xml:space="preserve"> but the work is largely routine or transactional in nature.</w:t>
            </w:r>
          </w:p>
          <w:p w14:paraId="56547154" w14:textId="77777777" w:rsidR="00CC5F22" w:rsidRPr="00ED5AD0" w:rsidRDefault="00CC5F22" w:rsidP="005C51FA">
            <w:r w:rsidRPr="00ED5AD0">
              <w:t>Policy/strategy work is generally for the service area only.</w:t>
            </w:r>
          </w:p>
        </w:tc>
        <w:tc>
          <w:tcPr>
            <w:tcW w:w="4537" w:type="dxa"/>
            <w:shd w:val="clear" w:color="auto" w:fill="auto"/>
          </w:tcPr>
          <w:p w14:paraId="008C853A" w14:textId="77777777" w:rsidR="00CC5F22" w:rsidRPr="00ED5AD0" w:rsidRDefault="00CC5F22" w:rsidP="005C51FA">
            <w:r w:rsidRPr="00ED5AD0">
              <w:t xml:space="preserve">The delivery of the service is generally operational and routine although some aspects of the service need to frequently deliver solutions to problems or case management issues that are not straightforward and can have multiple outcomes. </w:t>
            </w:r>
          </w:p>
        </w:tc>
        <w:tc>
          <w:tcPr>
            <w:tcW w:w="4109" w:type="dxa"/>
            <w:shd w:val="clear" w:color="auto" w:fill="auto"/>
          </w:tcPr>
          <w:p w14:paraId="29DFB027" w14:textId="77777777" w:rsidR="00CC5F22" w:rsidRPr="00ED5AD0" w:rsidRDefault="00CC5F22" w:rsidP="005C51FA">
            <w:r w:rsidRPr="00ED5AD0">
              <w:t>The delivery of most aspects of the service is not easily determined by established guidance, procedures and process. The service is likely to have an emphasis on case management, problem solving, partnering (internal or external) or project working. Strategy work is complex and impacts on a substantial range of council services.</w:t>
            </w:r>
          </w:p>
        </w:tc>
      </w:tr>
      <w:tr w:rsidR="00CC5F22" w:rsidRPr="00ED5AD0" w14:paraId="43849AF0" w14:textId="77777777" w:rsidTr="00DA3C2F">
        <w:tc>
          <w:tcPr>
            <w:tcW w:w="1418" w:type="dxa"/>
            <w:shd w:val="clear" w:color="auto" w:fill="auto"/>
          </w:tcPr>
          <w:p w14:paraId="0B28B72C" w14:textId="77777777" w:rsidR="00CC5F22" w:rsidRPr="00ED5AD0" w:rsidRDefault="00CC5F22" w:rsidP="005C51FA">
            <w:r w:rsidRPr="00ED5AD0">
              <w:t>Market</w:t>
            </w:r>
          </w:p>
        </w:tc>
        <w:tc>
          <w:tcPr>
            <w:tcW w:w="4678" w:type="dxa"/>
            <w:shd w:val="clear" w:color="auto" w:fill="auto"/>
          </w:tcPr>
          <w:p w14:paraId="3407D4E3" w14:textId="77777777" w:rsidR="00CC5F22" w:rsidRPr="00ED5AD0" w:rsidRDefault="00CC5F22" w:rsidP="005C51FA">
            <w:r w:rsidRPr="00ED5AD0">
              <w:t xml:space="preserve">Determined by market analytics (comparator jobs, Hay data etc.) as being a post that may be comparatively easy to fill.  The service area may be limited in breadth.  The local market would readily provide </w:t>
            </w:r>
            <w:proofErr w:type="gramStart"/>
            <w:r w:rsidRPr="00ED5AD0">
              <w:t>a number of</w:t>
            </w:r>
            <w:proofErr w:type="gramEnd"/>
            <w:r w:rsidRPr="00ED5AD0">
              <w:t xml:space="preserve"> good quality applicants for any vacancy advertised. </w:t>
            </w:r>
          </w:p>
        </w:tc>
        <w:tc>
          <w:tcPr>
            <w:tcW w:w="4537" w:type="dxa"/>
            <w:shd w:val="clear" w:color="auto" w:fill="auto"/>
          </w:tcPr>
          <w:p w14:paraId="2B7EC5A5" w14:textId="77777777" w:rsidR="00CC5F22" w:rsidRPr="00ED5AD0" w:rsidRDefault="00CC5F22" w:rsidP="005C51FA">
            <w:r w:rsidRPr="00ED5AD0">
              <w:t>Reasonable prospect of some (perhaps few only) acceptable quality of applicants for any vacancy advertised.</w:t>
            </w:r>
          </w:p>
        </w:tc>
        <w:tc>
          <w:tcPr>
            <w:tcW w:w="4109" w:type="dxa"/>
            <w:shd w:val="clear" w:color="auto" w:fill="auto"/>
          </w:tcPr>
          <w:p w14:paraId="39711D7A" w14:textId="77777777" w:rsidR="00CC5F22" w:rsidRPr="00ED5AD0" w:rsidRDefault="00CC5F22" w:rsidP="005C51FA">
            <w:r w:rsidRPr="00ED5AD0">
              <w:t xml:space="preserve">A post that due to market conditions may be relatively difficult to recruit into.  This may be due to the mix of skills required or the high value that the local </w:t>
            </w:r>
            <w:proofErr w:type="gramStart"/>
            <w:r w:rsidRPr="00ED5AD0">
              <w:t>market places</w:t>
            </w:r>
            <w:proofErr w:type="gramEnd"/>
            <w:r w:rsidRPr="00ED5AD0">
              <w:t xml:space="preserve"> on particular professional qualifications or experience.</w:t>
            </w:r>
          </w:p>
        </w:tc>
      </w:tr>
      <w:tr w:rsidR="00CC5F22" w:rsidRPr="00ED5AD0" w14:paraId="54935C7A" w14:textId="77777777" w:rsidTr="00DA3C2F">
        <w:tc>
          <w:tcPr>
            <w:tcW w:w="1418" w:type="dxa"/>
            <w:shd w:val="clear" w:color="auto" w:fill="auto"/>
          </w:tcPr>
          <w:p w14:paraId="5138C19A" w14:textId="77777777" w:rsidR="00CC5F22" w:rsidRPr="00ED5AD0" w:rsidRDefault="00CC5F22" w:rsidP="005C51FA">
            <w:r w:rsidRPr="00ED5AD0">
              <w:t>Resources</w:t>
            </w:r>
          </w:p>
        </w:tc>
        <w:tc>
          <w:tcPr>
            <w:tcW w:w="4678" w:type="dxa"/>
            <w:shd w:val="clear" w:color="auto" w:fill="auto"/>
          </w:tcPr>
          <w:p w14:paraId="096817AD" w14:textId="77777777" w:rsidR="00CC5F22" w:rsidRPr="00ED5AD0" w:rsidRDefault="00CC5F22" w:rsidP="005C51FA">
            <w:r w:rsidRPr="00ED5AD0">
              <w:t xml:space="preserve">There is scope for influence on the organisation’s employees, finance, assets in respect of the service area only.    </w:t>
            </w:r>
          </w:p>
        </w:tc>
        <w:tc>
          <w:tcPr>
            <w:tcW w:w="4537" w:type="dxa"/>
            <w:shd w:val="clear" w:color="auto" w:fill="auto"/>
          </w:tcPr>
          <w:p w14:paraId="7960FC72" w14:textId="77777777" w:rsidR="00CC5F22" w:rsidRPr="00ED5AD0" w:rsidRDefault="00CC5F22" w:rsidP="005C51FA">
            <w:r w:rsidRPr="00ED5AD0">
              <w:t xml:space="preserve">There is some scope for influence on the organisation’s employees, finance, assets.    </w:t>
            </w:r>
          </w:p>
        </w:tc>
        <w:tc>
          <w:tcPr>
            <w:tcW w:w="4109" w:type="dxa"/>
            <w:shd w:val="clear" w:color="auto" w:fill="auto"/>
          </w:tcPr>
          <w:p w14:paraId="18C18EE3" w14:textId="77777777" w:rsidR="00CC5F22" w:rsidRPr="00ED5AD0" w:rsidRDefault="00CC5F22" w:rsidP="005C51FA">
            <w:r w:rsidRPr="00ED5AD0">
              <w:t xml:space="preserve">There is considerable scope for influence on the organisation’s employees, finance, assets across the Council.    </w:t>
            </w:r>
          </w:p>
        </w:tc>
      </w:tr>
    </w:tbl>
    <w:p w14:paraId="344F8F22" w14:textId="77777777" w:rsidR="00DA3C2F" w:rsidRPr="00ED5AD0" w:rsidRDefault="00DA3C2F" w:rsidP="00CC5F22">
      <w:pPr>
        <w:ind w:left="-993"/>
        <w:jc w:val="right"/>
        <w:sectPr w:rsidR="00DA3C2F" w:rsidRPr="00ED5AD0" w:rsidSect="00DA3C2F">
          <w:pgSz w:w="15840" w:h="12240" w:orient="landscape" w:code="1"/>
          <w:pgMar w:top="567" w:right="567" w:bottom="284" w:left="567" w:header="289" w:footer="720" w:gutter="0"/>
          <w:cols w:space="720"/>
          <w:docGrid w:linePitch="326"/>
        </w:sectPr>
      </w:pPr>
    </w:p>
    <w:p w14:paraId="6B32EAE2" w14:textId="77777777" w:rsidR="00DA3C2F" w:rsidRPr="00ED5AD0" w:rsidRDefault="00DA3C2F" w:rsidP="00CC5F22">
      <w:pPr>
        <w:ind w:left="-993"/>
        <w:jc w:val="right"/>
      </w:pPr>
    </w:p>
    <w:p w14:paraId="1B69D0A5" w14:textId="77777777" w:rsidR="00DA3C2F" w:rsidRPr="00ED5AD0" w:rsidRDefault="00DA3C2F" w:rsidP="00DA3C2F">
      <w:pPr>
        <w:ind w:left="-993"/>
      </w:pPr>
    </w:p>
    <w:p w14:paraId="45761D30" w14:textId="77777777" w:rsidR="00DA3C2F" w:rsidRPr="00ED5AD0" w:rsidRDefault="00DA3C2F" w:rsidP="00DA3C2F">
      <w:pPr>
        <w:rPr>
          <w:b/>
          <w:sz w:val="28"/>
          <w:szCs w:val="28"/>
        </w:rPr>
      </w:pPr>
      <w:r w:rsidRPr="00ED5AD0">
        <w:rPr>
          <w:b/>
          <w:sz w:val="28"/>
          <w:szCs w:val="28"/>
        </w:rPr>
        <w:t>General Principles</w:t>
      </w:r>
    </w:p>
    <w:p w14:paraId="2400C469" w14:textId="77777777" w:rsidR="00415182" w:rsidRPr="00ED5AD0" w:rsidRDefault="00415182" w:rsidP="00DA3C2F">
      <w:pPr>
        <w:rPr>
          <w:b/>
          <w:sz w:val="28"/>
          <w:szCs w:val="28"/>
        </w:rPr>
      </w:pPr>
    </w:p>
    <w:p w14:paraId="5F4A8CB5" w14:textId="36E8F4B8" w:rsidR="00DA3C2F" w:rsidRPr="00ED5AD0" w:rsidRDefault="0019479A" w:rsidP="00DA3C2F">
      <w:r w:rsidRPr="00ED5AD0">
        <w:t xml:space="preserve">Assistant </w:t>
      </w:r>
      <w:r w:rsidR="005103EB" w:rsidRPr="00ED5AD0">
        <w:t>Director</w:t>
      </w:r>
      <w:r w:rsidR="00DA3C2F" w:rsidRPr="00ED5AD0">
        <w:t xml:space="preserve"> posts have been placed into one of four pay bands based on the above conventions and the scoring model shown below.  The following general guidelines are also proposed: </w:t>
      </w:r>
    </w:p>
    <w:p w14:paraId="4A04E687" w14:textId="1CB64916" w:rsidR="00DA3C2F" w:rsidRPr="00ED5AD0" w:rsidRDefault="00DA3C2F" w:rsidP="00D32888">
      <w:pPr>
        <w:pStyle w:val="ListParagraph"/>
        <w:numPr>
          <w:ilvl w:val="0"/>
          <w:numId w:val="27"/>
        </w:numPr>
        <w:contextualSpacing/>
      </w:pPr>
      <w:r w:rsidRPr="00ED5AD0">
        <w:t xml:space="preserve">Each factor is scored in accordance with the table below and total scores determine the pay band to be applied to each </w:t>
      </w:r>
      <w:r w:rsidR="0019479A" w:rsidRPr="00ED5AD0">
        <w:t xml:space="preserve">Assistant </w:t>
      </w:r>
      <w:r w:rsidR="005103EB" w:rsidRPr="00ED5AD0">
        <w:t>Director</w:t>
      </w:r>
      <w:r w:rsidRPr="00ED5AD0">
        <w:t xml:space="preserve"> post. </w:t>
      </w:r>
    </w:p>
    <w:p w14:paraId="390C9CAA" w14:textId="77777777" w:rsidR="00DA3C2F" w:rsidRPr="00ED5AD0" w:rsidRDefault="00DA3C2F" w:rsidP="00D32888">
      <w:pPr>
        <w:pStyle w:val="ListParagraph"/>
        <w:numPr>
          <w:ilvl w:val="0"/>
          <w:numId w:val="27"/>
        </w:numPr>
        <w:contextualSpacing/>
      </w:pPr>
      <w:r w:rsidRPr="00ED5AD0">
        <w:t>The determination of placing will be undertaken by SLT.</w:t>
      </w:r>
    </w:p>
    <w:p w14:paraId="33E2F482" w14:textId="77777777" w:rsidR="00DA3C2F" w:rsidRPr="00ED5AD0" w:rsidRDefault="00DA3C2F" w:rsidP="00D32888">
      <w:pPr>
        <w:pStyle w:val="ListParagraph"/>
        <w:numPr>
          <w:ilvl w:val="0"/>
          <w:numId w:val="27"/>
        </w:numPr>
        <w:contextualSpacing/>
      </w:pPr>
      <w:r w:rsidRPr="00ED5AD0">
        <w:t>Appeal against placing will be to the Chief Executive in consultation with an HR officer and a union representative. The Chief Executive may agree that the banding of a post is reconsidered by SLT.</w:t>
      </w:r>
    </w:p>
    <w:p w14:paraId="24CAF565" w14:textId="77777777" w:rsidR="00DA3C2F" w:rsidRPr="00ED5AD0" w:rsidRDefault="00DA3C2F" w:rsidP="00D32888">
      <w:pPr>
        <w:pStyle w:val="ListParagraph"/>
        <w:numPr>
          <w:ilvl w:val="0"/>
          <w:numId w:val="27"/>
        </w:numPr>
        <w:contextualSpacing/>
      </w:pPr>
      <w:r w:rsidRPr="00ED5AD0">
        <w:t xml:space="preserve">An Equality Impact Assessment will be maintained to ensure that grading is not </w:t>
      </w:r>
      <w:proofErr w:type="gramStart"/>
      <w:r w:rsidRPr="00ED5AD0">
        <w:t>gender-biased</w:t>
      </w:r>
      <w:proofErr w:type="gramEnd"/>
      <w:r w:rsidRPr="00ED5AD0">
        <w:t xml:space="preserve">.  This will be reviewed periodically. </w:t>
      </w:r>
    </w:p>
    <w:p w14:paraId="1934F930" w14:textId="77777777" w:rsidR="00DA3C2F" w:rsidRPr="00ED5AD0" w:rsidRDefault="00DA3C2F" w:rsidP="00D32888">
      <w:pPr>
        <w:pStyle w:val="ListParagraph"/>
        <w:numPr>
          <w:ilvl w:val="0"/>
          <w:numId w:val="27"/>
        </w:numPr>
        <w:contextualSpacing/>
      </w:pPr>
      <w:r w:rsidRPr="00ED5AD0">
        <w:t>The assessment of job scores may be reviewed periodically at the request of an employee or SLT particularly if a job changes or there is evidence that the market may treat the job differently to its initial assessment.</w:t>
      </w:r>
    </w:p>
    <w:p w14:paraId="20486395" w14:textId="77777777" w:rsidR="00DA3C2F" w:rsidRPr="00ED5AD0" w:rsidRDefault="00DA3C2F" w:rsidP="00D32888">
      <w:pPr>
        <w:pStyle w:val="ListParagraph"/>
        <w:numPr>
          <w:ilvl w:val="0"/>
          <w:numId w:val="27"/>
        </w:numPr>
        <w:contextualSpacing/>
      </w:pPr>
      <w:r w:rsidRPr="00ED5AD0">
        <w:t>Pay Bands are based on the following scoring matrix:</w:t>
      </w:r>
    </w:p>
    <w:tbl>
      <w:tblPr>
        <w:tblW w:w="7560" w:type="dxa"/>
        <w:tblInd w:w="817" w:type="dxa"/>
        <w:tblLook w:val="04A0" w:firstRow="1" w:lastRow="0" w:firstColumn="1" w:lastColumn="0" w:noHBand="0" w:noVBand="1"/>
      </w:tblPr>
      <w:tblGrid>
        <w:gridCol w:w="1200"/>
        <w:gridCol w:w="1200"/>
        <w:gridCol w:w="1200"/>
        <w:gridCol w:w="1200"/>
        <w:gridCol w:w="2538"/>
        <w:gridCol w:w="222"/>
      </w:tblGrid>
      <w:tr w:rsidR="00DA3C2F" w:rsidRPr="00ED5AD0" w14:paraId="10DF6357" w14:textId="77777777" w:rsidTr="005C51FA">
        <w:trPr>
          <w:trHeight w:val="315"/>
        </w:trPr>
        <w:tc>
          <w:tcPr>
            <w:tcW w:w="1200" w:type="dxa"/>
            <w:tcBorders>
              <w:top w:val="nil"/>
              <w:left w:val="nil"/>
              <w:bottom w:val="nil"/>
              <w:right w:val="nil"/>
            </w:tcBorders>
            <w:shd w:val="clear" w:color="auto" w:fill="auto"/>
            <w:noWrap/>
            <w:vAlign w:val="bottom"/>
            <w:hideMark/>
          </w:tcPr>
          <w:p w14:paraId="14210700"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Pay Band</w:t>
            </w:r>
          </w:p>
        </w:tc>
        <w:tc>
          <w:tcPr>
            <w:tcW w:w="3600" w:type="dxa"/>
            <w:gridSpan w:val="3"/>
            <w:tcBorders>
              <w:top w:val="nil"/>
              <w:left w:val="nil"/>
              <w:bottom w:val="nil"/>
              <w:right w:val="nil"/>
            </w:tcBorders>
            <w:shd w:val="clear" w:color="auto" w:fill="auto"/>
            <w:noWrap/>
            <w:vAlign w:val="bottom"/>
            <w:hideMark/>
          </w:tcPr>
          <w:p w14:paraId="5216437F" w14:textId="6892C152" w:rsidR="00DA3C2F" w:rsidRPr="00ED5AD0" w:rsidRDefault="00DA3C2F" w:rsidP="005C51FA">
            <w:pPr>
              <w:rPr>
                <w:rFonts w:cs="Arial"/>
                <w:bCs/>
                <w:color w:val="000000"/>
                <w:szCs w:val="24"/>
                <w:lang w:eastAsia="en-GB"/>
              </w:rPr>
            </w:pPr>
            <w:r w:rsidRPr="00ED5AD0">
              <w:rPr>
                <w:rFonts w:cs="Arial"/>
                <w:bCs/>
                <w:color w:val="000000"/>
                <w:szCs w:val="24"/>
                <w:lang w:eastAsia="en-GB"/>
              </w:rPr>
              <w:t xml:space="preserve">% of </w:t>
            </w:r>
            <w:r w:rsidR="005103EB" w:rsidRPr="00ED5AD0">
              <w:rPr>
                <w:rFonts w:cs="Arial"/>
                <w:bCs/>
                <w:color w:val="000000"/>
                <w:szCs w:val="24"/>
                <w:lang w:eastAsia="en-GB"/>
              </w:rPr>
              <w:t>Director</w:t>
            </w:r>
            <w:r w:rsidRPr="00ED5AD0">
              <w:rPr>
                <w:rFonts w:cs="Arial"/>
                <w:bCs/>
                <w:color w:val="000000"/>
                <w:szCs w:val="24"/>
                <w:lang w:eastAsia="en-GB"/>
              </w:rPr>
              <w:t>s maximum pay</w:t>
            </w:r>
          </w:p>
        </w:tc>
        <w:tc>
          <w:tcPr>
            <w:tcW w:w="2760" w:type="dxa"/>
            <w:gridSpan w:val="2"/>
            <w:tcBorders>
              <w:top w:val="nil"/>
              <w:left w:val="nil"/>
              <w:bottom w:val="nil"/>
              <w:right w:val="nil"/>
            </w:tcBorders>
            <w:shd w:val="clear" w:color="auto" w:fill="auto"/>
            <w:noWrap/>
            <w:vAlign w:val="bottom"/>
            <w:hideMark/>
          </w:tcPr>
          <w:p w14:paraId="3B283754"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Evaluated points total</w:t>
            </w:r>
          </w:p>
        </w:tc>
      </w:tr>
      <w:tr w:rsidR="00DA3C2F" w:rsidRPr="00ED5AD0" w14:paraId="0F57CA1A" w14:textId="77777777" w:rsidTr="005C51FA">
        <w:trPr>
          <w:trHeight w:val="315"/>
        </w:trPr>
        <w:tc>
          <w:tcPr>
            <w:tcW w:w="1200" w:type="dxa"/>
            <w:tcBorders>
              <w:top w:val="nil"/>
              <w:left w:val="nil"/>
              <w:bottom w:val="nil"/>
              <w:right w:val="nil"/>
            </w:tcBorders>
            <w:shd w:val="clear" w:color="auto" w:fill="auto"/>
            <w:noWrap/>
            <w:vAlign w:val="bottom"/>
            <w:hideMark/>
          </w:tcPr>
          <w:p w14:paraId="64F2C191" w14:textId="77777777" w:rsidR="00DA3C2F" w:rsidRPr="00ED5AD0" w:rsidRDefault="00DA3C2F" w:rsidP="005C51FA">
            <w:pPr>
              <w:rPr>
                <w:rFonts w:cs="Arial"/>
                <w:bCs/>
                <w:color w:val="000000"/>
                <w:szCs w:val="24"/>
                <w:lang w:eastAsia="en-GB"/>
              </w:rPr>
            </w:pPr>
          </w:p>
        </w:tc>
        <w:tc>
          <w:tcPr>
            <w:tcW w:w="1200" w:type="dxa"/>
            <w:tcBorders>
              <w:top w:val="nil"/>
              <w:left w:val="nil"/>
              <w:bottom w:val="nil"/>
              <w:right w:val="nil"/>
            </w:tcBorders>
            <w:shd w:val="clear" w:color="auto" w:fill="auto"/>
            <w:noWrap/>
            <w:vAlign w:val="bottom"/>
            <w:hideMark/>
          </w:tcPr>
          <w:p w14:paraId="4FF8C405" w14:textId="77777777" w:rsidR="00DA3C2F" w:rsidRPr="00ED5AD0" w:rsidRDefault="00DA3C2F" w:rsidP="005C51FA">
            <w:pPr>
              <w:rPr>
                <w:rFonts w:cs="Arial"/>
                <w:bCs/>
                <w:color w:val="000000"/>
                <w:szCs w:val="24"/>
                <w:lang w:eastAsia="en-GB"/>
              </w:rPr>
            </w:pPr>
          </w:p>
        </w:tc>
        <w:tc>
          <w:tcPr>
            <w:tcW w:w="1200" w:type="dxa"/>
            <w:tcBorders>
              <w:top w:val="nil"/>
              <w:left w:val="nil"/>
              <w:bottom w:val="nil"/>
              <w:right w:val="nil"/>
            </w:tcBorders>
            <w:shd w:val="clear" w:color="auto" w:fill="auto"/>
            <w:noWrap/>
            <w:vAlign w:val="bottom"/>
            <w:hideMark/>
          </w:tcPr>
          <w:p w14:paraId="1584E6AF" w14:textId="77777777" w:rsidR="00DA3C2F" w:rsidRPr="00ED5AD0" w:rsidRDefault="00DA3C2F" w:rsidP="005C51FA">
            <w:pPr>
              <w:rPr>
                <w:rFonts w:cs="Arial"/>
                <w:bCs/>
                <w:color w:val="000000"/>
                <w:szCs w:val="24"/>
                <w:lang w:eastAsia="en-GB"/>
              </w:rPr>
            </w:pPr>
          </w:p>
        </w:tc>
        <w:tc>
          <w:tcPr>
            <w:tcW w:w="1200" w:type="dxa"/>
            <w:tcBorders>
              <w:top w:val="nil"/>
              <w:left w:val="nil"/>
              <w:bottom w:val="nil"/>
              <w:right w:val="nil"/>
            </w:tcBorders>
            <w:shd w:val="clear" w:color="auto" w:fill="auto"/>
            <w:noWrap/>
            <w:vAlign w:val="bottom"/>
            <w:hideMark/>
          </w:tcPr>
          <w:p w14:paraId="26928C83" w14:textId="77777777" w:rsidR="00DA3C2F" w:rsidRPr="00ED5AD0" w:rsidRDefault="00DA3C2F" w:rsidP="005C51FA">
            <w:pPr>
              <w:jc w:val="center"/>
              <w:rPr>
                <w:rFonts w:cs="Arial"/>
                <w:bCs/>
                <w:color w:val="000000"/>
                <w:szCs w:val="24"/>
                <w:lang w:eastAsia="en-GB"/>
              </w:rPr>
            </w:pPr>
          </w:p>
        </w:tc>
        <w:tc>
          <w:tcPr>
            <w:tcW w:w="2538" w:type="dxa"/>
            <w:tcBorders>
              <w:top w:val="nil"/>
              <w:left w:val="nil"/>
              <w:bottom w:val="nil"/>
              <w:right w:val="nil"/>
            </w:tcBorders>
            <w:shd w:val="clear" w:color="auto" w:fill="auto"/>
            <w:noWrap/>
            <w:vAlign w:val="bottom"/>
            <w:hideMark/>
          </w:tcPr>
          <w:p w14:paraId="5F253543" w14:textId="77777777" w:rsidR="00DA3C2F" w:rsidRPr="00ED5AD0" w:rsidRDefault="00DA3C2F" w:rsidP="005C51FA">
            <w:pPr>
              <w:jc w:val="center"/>
              <w:rPr>
                <w:rFonts w:cs="Arial"/>
                <w:bCs/>
                <w:color w:val="000000"/>
                <w:szCs w:val="24"/>
                <w:lang w:eastAsia="en-GB"/>
              </w:rPr>
            </w:pPr>
          </w:p>
        </w:tc>
        <w:tc>
          <w:tcPr>
            <w:tcW w:w="222" w:type="dxa"/>
            <w:tcBorders>
              <w:top w:val="nil"/>
              <w:left w:val="nil"/>
              <w:bottom w:val="nil"/>
              <w:right w:val="nil"/>
            </w:tcBorders>
            <w:shd w:val="clear" w:color="auto" w:fill="auto"/>
            <w:noWrap/>
            <w:vAlign w:val="bottom"/>
            <w:hideMark/>
          </w:tcPr>
          <w:p w14:paraId="3179239B" w14:textId="77777777" w:rsidR="00DA3C2F" w:rsidRPr="00ED5AD0" w:rsidRDefault="00DA3C2F" w:rsidP="005C51FA">
            <w:pPr>
              <w:jc w:val="center"/>
              <w:rPr>
                <w:rFonts w:cs="Arial"/>
                <w:bCs/>
                <w:color w:val="000000"/>
                <w:szCs w:val="24"/>
                <w:lang w:eastAsia="en-GB"/>
              </w:rPr>
            </w:pPr>
          </w:p>
        </w:tc>
      </w:tr>
      <w:tr w:rsidR="00DA3C2F" w:rsidRPr="00ED5AD0" w14:paraId="749D1093" w14:textId="77777777" w:rsidTr="005C51FA">
        <w:trPr>
          <w:trHeight w:val="315"/>
        </w:trPr>
        <w:tc>
          <w:tcPr>
            <w:tcW w:w="1200" w:type="dxa"/>
            <w:tcBorders>
              <w:top w:val="nil"/>
              <w:left w:val="nil"/>
              <w:bottom w:val="nil"/>
              <w:right w:val="nil"/>
            </w:tcBorders>
            <w:shd w:val="clear" w:color="auto" w:fill="auto"/>
            <w:noWrap/>
            <w:vAlign w:val="bottom"/>
            <w:hideMark/>
          </w:tcPr>
          <w:p w14:paraId="35F1044A"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Band 1</w:t>
            </w:r>
          </w:p>
        </w:tc>
        <w:tc>
          <w:tcPr>
            <w:tcW w:w="2400" w:type="dxa"/>
            <w:gridSpan w:val="2"/>
            <w:tcBorders>
              <w:top w:val="nil"/>
              <w:left w:val="nil"/>
              <w:bottom w:val="nil"/>
              <w:right w:val="nil"/>
            </w:tcBorders>
            <w:shd w:val="clear" w:color="auto" w:fill="auto"/>
            <w:noWrap/>
            <w:vAlign w:val="bottom"/>
            <w:hideMark/>
          </w:tcPr>
          <w:p w14:paraId="7A3E513D" w14:textId="77777777" w:rsidR="00DA3C2F" w:rsidRPr="00ED5AD0" w:rsidRDefault="00DA3C2F" w:rsidP="005C51FA">
            <w:pPr>
              <w:jc w:val="center"/>
              <w:rPr>
                <w:rFonts w:cs="Arial"/>
                <w:bCs/>
                <w:color w:val="000000"/>
                <w:szCs w:val="24"/>
                <w:lang w:eastAsia="en-GB"/>
              </w:rPr>
            </w:pPr>
            <w:r w:rsidRPr="00ED5AD0">
              <w:rPr>
                <w:rFonts w:cs="Arial"/>
                <w:bCs/>
                <w:color w:val="000000"/>
                <w:szCs w:val="24"/>
                <w:lang w:eastAsia="en-GB"/>
              </w:rPr>
              <w:t>55-60%</w:t>
            </w:r>
          </w:p>
        </w:tc>
        <w:tc>
          <w:tcPr>
            <w:tcW w:w="1200" w:type="dxa"/>
            <w:tcBorders>
              <w:top w:val="nil"/>
              <w:left w:val="nil"/>
              <w:bottom w:val="nil"/>
              <w:right w:val="nil"/>
            </w:tcBorders>
            <w:shd w:val="clear" w:color="auto" w:fill="auto"/>
            <w:noWrap/>
            <w:vAlign w:val="bottom"/>
            <w:hideMark/>
          </w:tcPr>
          <w:p w14:paraId="43BF8081" w14:textId="77777777" w:rsidR="00DA3C2F" w:rsidRPr="00ED5AD0" w:rsidRDefault="00DA3C2F" w:rsidP="005C51FA">
            <w:pPr>
              <w:rPr>
                <w:rFonts w:cs="Arial"/>
                <w:bCs/>
                <w:color w:val="000000"/>
                <w:szCs w:val="24"/>
                <w:lang w:eastAsia="en-GB"/>
              </w:rPr>
            </w:pPr>
          </w:p>
        </w:tc>
        <w:tc>
          <w:tcPr>
            <w:tcW w:w="2538" w:type="dxa"/>
            <w:tcBorders>
              <w:top w:val="nil"/>
              <w:left w:val="nil"/>
              <w:bottom w:val="nil"/>
              <w:right w:val="nil"/>
            </w:tcBorders>
            <w:shd w:val="clear" w:color="auto" w:fill="auto"/>
            <w:noWrap/>
            <w:vAlign w:val="bottom"/>
            <w:hideMark/>
          </w:tcPr>
          <w:p w14:paraId="24B1ABB5"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5-7</w:t>
            </w:r>
          </w:p>
        </w:tc>
        <w:tc>
          <w:tcPr>
            <w:tcW w:w="222" w:type="dxa"/>
            <w:tcBorders>
              <w:top w:val="nil"/>
              <w:left w:val="nil"/>
              <w:bottom w:val="nil"/>
              <w:right w:val="nil"/>
            </w:tcBorders>
            <w:shd w:val="clear" w:color="auto" w:fill="auto"/>
            <w:noWrap/>
            <w:vAlign w:val="bottom"/>
            <w:hideMark/>
          </w:tcPr>
          <w:p w14:paraId="4F15063C" w14:textId="77777777" w:rsidR="00DA3C2F" w:rsidRPr="00ED5AD0" w:rsidRDefault="00DA3C2F" w:rsidP="005C51FA">
            <w:pPr>
              <w:jc w:val="center"/>
              <w:rPr>
                <w:rFonts w:cs="Arial"/>
                <w:bCs/>
                <w:color w:val="000000"/>
                <w:szCs w:val="24"/>
                <w:lang w:eastAsia="en-GB"/>
              </w:rPr>
            </w:pPr>
          </w:p>
        </w:tc>
      </w:tr>
      <w:tr w:rsidR="00DA3C2F" w:rsidRPr="00ED5AD0" w14:paraId="27447B96" w14:textId="77777777" w:rsidTr="005C51FA">
        <w:trPr>
          <w:trHeight w:val="315"/>
        </w:trPr>
        <w:tc>
          <w:tcPr>
            <w:tcW w:w="1200" w:type="dxa"/>
            <w:tcBorders>
              <w:top w:val="nil"/>
              <w:left w:val="nil"/>
              <w:bottom w:val="nil"/>
              <w:right w:val="nil"/>
            </w:tcBorders>
            <w:shd w:val="clear" w:color="auto" w:fill="auto"/>
            <w:noWrap/>
            <w:vAlign w:val="bottom"/>
            <w:hideMark/>
          </w:tcPr>
          <w:p w14:paraId="4891BD01"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Band 2</w:t>
            </w:r>
          </w:p>
        </w:tc>
        <w:tc>
          <w:tcPr>
            <w:tcW w:w="2400" w:type="dxa"/>
            <w:gridSpan w:val="2"/>
            <w:tcBorders>
              <w:top w:val="nil"/>
              <w:left w:val="nil"/>
              <w:bottom w:val="nil"/>
              <w:right w:val="nil"/>
            </w:tcBorders>
            <w:shd w:val="clear" w:color="auto" w:fill="auto"/>
            <w:noWrap/>
            <w:vAlign w:val="bottom"/>
            <w:hideMark/>
          </w:tcPr>
          <w:p w14:paraId="1A0CB4E5" w14:textId="77777777" w:rsidR="00DA3C2F" w:rsidRPr="00ED5AD0" w:rsidRDefault="00DA3C2F" w:rsidP="005C51FA">
            <w:pPr>
              <w:jc w:val="center"/>
              <w:rPr>
                <w:rFonts w:cs="Arial"/>
                <w:bCs/>
                <w:color w:val="000000"/>
                <w:szCs w:val="24"/>
                <w:lang w:eastAsia="en-GB"/>
              </w:rPr>
            </w:pPr>
            <w:r w:rsidRPr="00ED5AD0">
              <w:rPr>
                <w:rFonts w:cs="Arial"/>
                <w:bCs/>
                <w:color w:val="000000"/>
                <w:szCs w:val="24"/>
                <w:lang w:eastAsia="en-GB"/>
              </w:rPr>
              <w:t>60-65%</w:t>
            </w:r>
          </w:p>
        </w:tc>
        <w:tc>
          <w:tcPr>
            <w:tcW w:w="1200" w:type="dxa"/>
            <w:tcBorders>
              <w:top w:val="nil"/>
              <w:left w:val="nil"/>
              <w:bottom w:val="nil"/>
              <w:right w:val="nil"/>
            </w:tcBorders>
            <w:shd w:val="clear" w:color="auto" w:fill="auto"/>
            <w:noWrap/>
            <w:vAlign w:val="bottom"/>
            <w:hideMark/>
          </w:tcPr>
          <w:p w14:paraId="74846D62" w14:textId="77777777" w:rsidR="00DA3C2F" w:rsidRPr="00ED5AD0" w:rsidRDefault="00DA3C2F" w:rsidP="005C51FA">
            <w:pPr>
              <w:jc w:val="center"/>
              <w:rPr>
                <w:rFonts w:cs="Arial"/>
                <w:bCs/>
                <w:color w:val="000000"/>
                <w:szCs w:val="24"/>
                <w:lang w:eastAsia="en-GB"/>
              </w:rPr>
            </w:pPr>
          </w:p>
        </w:tc>
        <w:tc>
          <w:tcPr>
            <w:tcW w:w="2538" w:type="dxa"/>
            <w:tcBorders>
              <w:top w:val="nil"/>
              <w:left w:val="nil"/>
              <w:bottom w:val="nil"/>
              <w:right w:val="nil"/>
            </w:tcBorders>
            <w:shd w:val="clear" w:color="auto" w:fill="auto"/>
            <w:noWrap/>
            <w:vAlign w:val="bottom"/>
            <w:hideMark/>
          </w:tcPr>
          <w:p w14:paraId="176551A6"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8-10</w:t>
            </w:r>
          </w:p>
        </w:tc>
        <w:tc>
          <w:tcPr>
            <w:tcW w:w="222" w:type="dxa"/>
            <w:tcBorders>
              <w:top w:val="nil"/>
              <w:left w:val="nil"/>
              <w:bottom w:val="nil"/>
              <w:right w:val="nil"/>
            </w:tcBorders>
            <w:shd w:val="clear" w:color="auto" w:fill="auto"/>
            <w:noWrap/>
            <w:vAlign w:val="bottom"/>
            <w:hideMark/>
          </w:tcPr>
          <w:p w14:paraId="24FA0953" w14:textId="77777777" w:rsidR="00DA3C2F" w:rsidRPr="00ED5AD0" w:rsidRDefault="00DA3C2F" w:rsidP="005C51FA">
            <w:pPr>
              <w:jc w:val="center"/>
              <w:rPr>
                <w:rFonts w:cs="Arial"/>
                <w:bCs/>
                <w:color w:val="000000"/>
                <w:szCs w:val="24"/>
                <w:lang w:eastAsia="en-GB"/>
              </w:rPr>
            </w:pPr>
          </w:p>
        </w:tc>
      </w:tr>
      <w:tr w:rsidR="00DA3C2F" w:rsidRPr="00ED5AD0" w14:paraId="61AAF70B" w14:textId="77777777" w:rsidTr="005C51FA">
        <w:trPr>
          <w:trHeight w:val="315"/>
        </w:trPr>
        <w:tc>
          <w:tcPr>
            <w:tcW w:w="1200" w:type="dxa"/>
            <w:tcBorders>
              <w:top w:val="nil"/>
              <w:left w:val="nil"/>
              <w:bottom w:val="nil"/>
              <w:right w:val="nil"/>
            </w:tcBorders>
            <w:shd w:val="clear" w:color="auto" w:fill="auto"/>
            <w:noWrap/>
            <w:vAlign w:val="bottom"/>
            <w:hideMark/>
          </w:tcPr>
          <w:p w14:paraId="0945F972"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Band 3</w:t>
            </w:r>
          </w:p>
        </w:tc>
        <w:tc>
          <w:tcPr>
            <w:tcW w:w="2400" w:type="dxa"/>
            <w:gridSpan w:val="2"/>
            <w:tcBorders>
              <w:top w:val="nil"/>
              <w:left w:val="nil"/>
              <w:bottom w:val="nil"/>
              <w:right w:val="nil"/>
            </w:tcBorders>
            <w:shd w:val="clear" w:color="auto" w:fill="auto"/>
            <w:noWrap/>
            <w:vAlign w:val="bottom"/>
            <w:hideMark/>
          </w:tcPr>
          <w:p w14:paraId="5C7F369F" w14:textId="77777777" w:rsidR="00DA3C2F" w:rsidRPr="00ED5AD0" w:rsidRDefault="00DA3C2F" w:rsidP="005C51FA">
            <w:pPr>
              <w:jc w:val="center"/>
              <w:rPr>
                <w:rFonts w:cs="Arial"/>
                <w:bCs/>
                <w:color w:val="000000"/>
                <w:szCs w:val="24"/>
                <w:lang w:eastAsia="en-GB"/>
              </w:rPr>
            </w:pPr>
            <w:r w:rsidRPr="00ED5AD0">
              <w:rPr>
                <w:rFonts w:cs="Arial"/>
                <w:bCs/>
                <w:color w:val="000000"/>
                <w:szCs w:val="24"/>
                <w:lang w:eastAsia="en-GB"/>
              </w:rPr>
              <w:t>70-75%</w:t>
            </w:r>
          </w:p>
        </w:tc>
        <w:tc>
          <w:tcPr>
            <w:tcW w:w="1200" w:type="dxa"/>
            <w:tcBorders>
              <w:top w:val="nil"/>
              <w:left w:val="nil"/>
              <w:bottom w:val="nil"/>
              <w:right w:val="nil"/>
            </w:tcBorders>
            <w:shd w:val="clear" w:color="auto" w:fill="auto"/>
            <w:noWrap/>
            <w:vAlign w:val="bottom"/>
            <w:hideMark/>
          </w:tcPr>
          <w:p w14:paraId="175F520C" w14:textId="77777777" w:rsidR="00DA3C2F" w:rsidRPr="00ED5AD0" w:rsidRDefault="00DA3C2F" w:rsidP="005C51FA">
            <w:pPr>
              <w:rPr>
                <w:rFonts w:cs="Arial"/>
                <w:bCs/>
                <w:color w:val="000000"/>
                <w:szCs w:val="24"/>
                <w:lang w:eastAsia="en-GB"/>
              </w:rPr>
            </w:pPr>
          </w:p>
        </w:tc>
        <w:tc>
          <w:tcPr>
            <w:tcW w:w="2538" w:type="dxa"/>
            <w:tcBorders>
              <w:top w:val="nil"/>
              <w:left w:val="nil"/>
              <w:bottom w:val="nil"/>
              <w:right w:val="nil"/>
            </w:tcBorders>
            <w:shd w:val="clear" w:color="auto" w:fill="auto"/>
            <w:noWrap/>
            <w:vAlign w:val="bottom"/>
            <w:hideMark/>
          </w:tcPr>
          <w:p w14:paraId="3EDB597F"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11-13</w:t>
            </w:r>
          </w:p>
        </w:tc>
        <w:tc>
          <w:tcPr>
            <w:tcW w:w="222" w:type="dxa"/>
            <w:tcBorders>
              <w:top w:val="nil"/>
              <w:left w:val="nil"/>
              <w:bottom w:val="nil"/>
              <w:right w:val="nil"/>
            </w:tcBorders>
            <w:shd w:val="clear" w:color="auto" w:fill="auto"/>
            <w:noWrap/>
            <w:vAlign w:val="bottom"/>
            <w:hideMark/>
          </w:tcPr>
          <w:p w14:paraId="00052D64" w14:textId="77777777" w:rsidR="00DA3C2F" w:rsidRPr="00ED5AD0" w:rsidRDefault="00DA3C2F" w:rsidP="005C51FA">
            <w:pPr>
              <w:rPr>
                <w:rFonts w:cs="Arial"/>
                <w:bCs/>
                <w:color w:val="000000"/>
                <w:szCs w:val="24"/>
                <w:lang w:eastAsia="en-GB"/>
              </w:rPr>
            </w:pPr>
          </w:p>
        </w:tc>
      </w:tr>
      <w:tr w:rsidR="00DA3C2F" w:rsidRPr="00ED5AD0" w14:paraId="43065339" w14:textId="77777777" w:rsidTr="005C51FA">
        <w:trPr>
          <w:trHeight w:val="315"/>
        </w:trPr>
        <w:tc>
          <w:tcPr>
            <w:tcW w:w="1200" w:type="dxa"/>
            <w:tcBorders>
              <w:top w:val="nil"/>
              <w:left w:val="nil"/>
              <w:bottom w:val="nil"/>
              <w:right w:val="nil"/>
            </w:tcBorders>
            <w:shd w:val="clear" w:color="auto" w:fill="auto"/>
            <w:noWrap/>
            <w:vAlign w:val="bottom"/>
            <w:hideMark/>
          </w:tcPr>
          <w:p w14:paraId="76D45728"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Band 4</w:t>
            </w:r>
          </w:p>
        </w:tc>
        <w:tc>
          <w:tcPr>
            <w:tcW w:w="2400" w:type="dxa"/>
            <w:gridSpan w:val="2"/>
            <w:tcBorders>
              <w:top w:val="nil"/>
              <w:left w:val="nil"/>
              <w:bottom w:val="nil"/>
              <w:right w:val="nil"/>
            </w:tcBorders>
            <w:shd w:val="clear" w:color="auto" w:fill="auto"/>
            <w:noWrap/>
            <w:vAlign w:val="bottom"/>
            <w:hideMark/>
          </w:tcPr>
          <w:p w14:paraId="4B209264" w14:textId="77777777" w:rsidR="00DA3C2F" w:rsidRPr="00ED5AD0" w:rsidRDefault="00DA3C2F" w:rsidP="005C51FA">
            <w:pPr>
              <w:jc w:val="center"/>
              <w:rPr>
                <w:rFonts w:cs="Arial"/>
                <w:bCs/>
                <w:color w:val="000000"/>
                <w:szCs w:val="24"/>
                <w:lang w:eastAsia="en-GB"/>
              </w:rPr>
            </w:pPr>
            <w:r w:rsidRPr="00ED5AD0">
              <w:rPr>
                <w:rFonts w:cs="Arial"/>
                <w:bCs/>
                <w:color w:val="000000"/>
                <w:szCs w:val="24"/>
                <w:lang w:eastAsia="en-GB"/>
              </w:rPr>
              <w:t>80-85%</w:t>
            </w:r>
          </w:p>
        </w:tc>
        <w:tc>
          <w:tcPr>
            <w:tcW w:w="1200" w:type="dxa"/>
            <w:tcBorders>
              <w:top w:val="nil"/>
              <w:left w:val="nil"/>
              <w:bottom w:val="nil"/>
              <w:right w:val="nil"/>
            </w:tcBorders>
            <w:shd w:val="clear" w:color="auto" w:fill="auto"/>
            <w:noWrap/>
            <w:vAlign w:val="bottom"/>
            <w:hideMark/>
          </w:tcPr>
          <w:p w14:paraId="3B9CDFB8" w14:textId="77777777" w:rsidR="00DA3C2F" w:rsidRPr="00ED5AD0" w:rsidRDefault="00DA3C2F" w:rsidP="005C51FA">
            <w:pPr>
              <w:rPr>
                <w:rFonts w:cs="Arial"/>
                <w:bCs/>
                <w:color w:val="000000"/>
                <w:szCs w:val="24"/>
                <w:lang w:eastAsia="en-GB"/>
              </w:rPr>
            </w:pPr>
          </w:p>
        </w:tc>
        <w:tc>
          <w:tcPr>
            <w:tcW w:w="2538" w:type="dxa"/>
            <w:tcBorders>
              <w:top w:val="nil"/>
              <w:left w:val="nil"/>
              <w:bottom w:val="nil"/>
              <w:right w:val="nil"/>
            </w:tcBorders>
            <w:shd w:val="clear" w:color="auto" w:fill="auto"/>
            <w:noWrap/>
            <w:vAlign w:val="bottom"/>
            <w:hideMark/>
          </w:tcPr>
          <w:p w14:paraId="0C3F6413" w14:textId="77777777" w:rsidR="00DA3C2F" w:rsidRPr="00ED5AD0" w:rsidRDefault="00DA3C2F" w:rsidP="005C51FA">
            <w:pPr>
              <w:rPr>
                <w:rFonts w:cs="Arial"/>
                <w:bCs/>
                <w:color w:val="000000"/>
                <w:szCs w:val="24"/>
                <w:lang w:eastAsia="en-GB"/>
              </w:rPr>
            </w:pPr>
            <w:r w:rsidRPr="00ED5AD0">
              <w:rPr>
                <w:rFonts w:cs="Arial"/>
                <w:bCs/>
                <w:color w:val="000000"/>
                <w:szCs w:val="24"/>
                <w:lang w:eastAsia="en-GB"/>
              </w:rPr>
              <w:t>14-15</w:t>
            </w:r>
          </w:p>
        </w:tc>
        <w:tc>
          <w:tcPr>
            <w:tcW w:w="222" w:type="dxa"/>
            <w:tcBorders>
              <w:top w:val="nil"/>
              <w:left w:val="nil"/>
              <w:bottom w:val="nil"/>
              <w:right w:val="nil"/>
            </w:tcBorders>
            <w:shd w:val="clear" w:color="auto" w:fill="auto"/>
            <w:noWrap/>
            <w:vAlign w:val="bottom"/>
            <w:hideMark/>
          </w:tcPr>
          <w:p w14:paraId="76EED24A" w14:textId="77777777" w:rsidR="00DA3C2F" w:rsidRPr="00ED5AD0" w:rsidRDefault="00DA3C2F" w:rsidP="005C51FA">
            <w:pPr>
              <w:rPr>
                <w:rFonts w:cs="Arial"/>
                <w:bCs/>
                <w:color w:val="000000"/>
                <w:szCs w:val="24"/>
                <w:lang w:eastAsia="en-GB"/>
              </w:rPr>
            </w:pPr>
          </w:p>
        </w:tc>
      </w:tr>
    </w:tbl>
    <w:p w14:paraId="4E9C32B4" w14:textId="77777777" w:rsidR="00415182" w:rsidRPr="00ED5AD0" w:rsidRDefault="00415182" w:rsidP="00DA3C2F">
      <w:pPr>
        <w:pStyle w:val="NormalIndent"/>
        <w:jc w:val="left"/>
        <w:rPr>
          <w:b/>
          <w:sz w:val="28"/>
          <w:szCs w:val="28"/>
        </w:rPr>
      </w:pPr>
      <w:bookmarkStart w:id="6" w:name="_Hlk149836510"/>
    </w:p>
    <w:p w14:paraId="58113F1D" w14:textId="23CCF407" w:rsidR="00DA3C2F" w:rsidRPr="00ED5AD0" w:rsidRDefault="00415182" w:rsidP="00DA3C2F">
      <w:pPr>
        <w:pStyle w:val="NormalIndent"/>
        <w:jc w:val="left"/>
        <w:rPr>
          <w:b/>
          <w:sz w:val="28"/>
          <w:szCs w:val="28"/>
        </w:rPr>
      </w:pPr>
      <w:r w:rsidRPr="00ED5AD0">
        <w:rPr>
          <w:b/>
          <w:sz w:val="28"/>
          <w:szCs w:val="28"/>
        </w:rPr>
        <w:t xml:space="preserve">Assistant </w:t>
      </w:r>
      <w:proofErr w:type="gramStart"/>
      <w:r w:rsidR="005103EB" w:rsidRPr="00ED5AD0">
        <w:rPr>
          <w:b/>
          <w:sz w:val="28"/>
          <w:szCs w:val="28"/>
        </w:rPr>
        <w:t>Director</w:t>
      </w:r>
      <w:r w:rsidR="00DA3C2F" w:rsidRPr="00ED5AD0">
        <w:rPr>
          <w:b/>
          <w:sz w:val="28"/>
          <w:szCs w:val="28"/>
        </w:rPr>
        <w:t>;</w:t>
      </w:r>
      <w:proofErr w:type="gramEnd"/>
      <w:r w:rsidR="00DA3C2F" w:rsidRPr="00ED5AD0">
        <w:rPr>
          <w:b/>
          <w:sz w:val="28"/>
          <w:szCs w:val="28"/>
        </w:rPr>
        <w:t xml:space="preserve"> linkage of pay to performance</w:t>
      </w:r>
    </w:p>
    <w:p w14:paraId="28AF2F4D" w14:textId="1F71EB42" w:rsidR="00DA3C2F" w:rsidRPr="00ED5AD0" w:rsidRDefault="00415182" w:rsidP="00D32888">
      <w:pPr>
        <w:pStyle w:val="NormalIndent"/>
        <w:numPr>
          <w:ilvl w:val="0"/>
          <w:numId w:val="28"/>
        </w:numPr>
        <w:jc w:val="left"/>
        <w:rPr>
          <w:sz w:val="24"/>
          <w:szCs w:val="24"/>
        </w:rPr>
      </w:pPr>
      <w:r w:rsidRPr="00ED5AD0">
        <w:rPr>
          <w:sz w:val="24"/>
          <w:szCs w:val="24"/>
        </w:rPr>
        <w:t xml:space="preserve">Assistant </w:t>
      </w:r>
      <w:r w:rsidR="005103EB" w:rsidRPr="00ED5AD0">
        <w:rPr>
          <w:sz w:val="24"/>
          <w:szCs w:val="24"/>
        </w:rPr>
        <w:t>Director</w:t>
      </w:r>
      <w:r w:rsidR="00DA3C2F" w:rsidRPr="00ED5AD0">
        <w:rPr>
          <w:sz w:val="24"/>
          <w:szCs w:val="24"/>
        </w:rPr>
        <w:t xml:space="preserve"> posts are based on a three-point pay scale related to the maximum pay of </w:t>
      </w:r>
      <w:r w:rsidR="005103EB" w:rsidRPr="00ED5AD0">
        <w:rPr>
          <w:sz w:val="24"/>
          <w:szCs w:val="24"/>
        </w:rPr>
        <w:t>Director</w:t>
      </w:r>
      <w:r w:rsidR="00DA3C2F" w:rsidRPr="00ED5AD0">
        <w:rPr>
          <w:sz w:val="24"/>
          <w:szCs w:val="24"/>
        </w:rPr>
        <w:t>s.</w:t>
      </w:r>
    </w:p>
    <w:p w14:paraId="63B668CC" w14:textId="6FE68CB1" w:rsidR="00DA3C2F" w:rsidRPr="00ED5AD0" w:rsidRDefault="00DA3C2F" w:rsidP="00D32888">
      <w:pPr>
        <w:pStyle w:val="NormalIndent"/>
        <w:numPr>
          <w:ilvl w:val="0"/>
          <w:numId w:val="28"/>
        </w:numPr>
        <w:jc w:val="left"/>
        <w:rPr>
          <w:sz w:val="24"/>
          <w:szCs w:val="24"/>
        </w:rPr>
      </w:pPr>
      <w:r w:rsidRPr="00ED5AD0">
        <w:rPr>
          <w:sz w:val="24"/>
          <w:szCs w:val="24"/>
        </w:rPr>
        <w:t>Under normal circumstances, at the start of employment as a</w:t>
      </w:r>
      <w:r w:rsidR="00415182" w:rsidRPr="00ED5AD0">
        <w:rPr>
          <w:sz w:val="24"/>
          <w:szCs w:val="24"/>
        </w:rPr>
        <w:t xml:space="preserve">n Assistant </w:t>
      </w:r>
      <w:r w:rsidR="005103EB" w:rsidRPr="00ED5AD0">
        <w:rPr>
          <w:sz w:val="24"/>
          <w:szCs w:val="24"/>
        </w:rPr>
        <w:t>Director</w:t>
      </w:r>
      <w:r w:rsidRPr="00ED5AD0">
        <w:rPr>
          <w:sz w:val="24"/>
          <w:szCs w:val="24"/>
        </w:rPr>
        <w:t>, pay will be based on the bottom pay point of the grade.</w:t>
      </w:r>
    </w:p>
    <w:p w14:paraId="67DF536B" w14:textId="77777777" w:rsidR="00DA3C2F" w:rsidRPr="00ED5AD0" w:rsidRDefault="00DA3C2F" w:rsidP="00D32888">
      <w:pPr>
        <w:pStyle w:val="NormalIndent"/>
        <w:numPr>
          <w:ilvl w:val="0"/>
          <w:numId w:val="28"/>
        </w:numPr>
        <w:ind w:right="474"/>
        <w:jc w:val="left"/>
        <w:rPr>
          <w:sz w:val="24"/>
          <w:szCs w:val="24"/>
        </w:rPr>
      </w:pPr>
      <w:r w:rsidRPr="00ED5AD0">
        <w:rPr>
          <w:sz w:val="24"/>
          <w:szCs w:val="24"/>
        </w:rPr>
        <w:t>Progression to the next pay point will follow the general rules applying to NJC officers in respect to timing of awards.</w:t>
      </w:r>
    </w:p>
    <w:p w14:paraId="7D900CA1" w14:textId="75B27A06" w:rsidR="00DA3C2F" w:rsidRPr="00ED5AD0" w:rsidRDefault="005103EB" w:rsidP="00D32888">
      <w:pPr>
        <w:pStyle w:val="NormalIndent"/>
        <w:numPr>
          <w:ilvl w:val="0"/>
          <w:numId w:val="28"/>
        </w:numPr>
        <w:jc w:val="left"/>
        <w:rPr>
          <w:sz w:val="24"/>
          <w:szCs w:val="24"/>
        </w:rPr>
      </w:pPr>
      <w:r w:rsidRPr="00ED5AD0">
        <w:rPr>
          <w:sz w:val="24"/>
          <w:szCs w:val="24"/>
        </w:rPr>
        <w:t>Director</w:t>
      </w:r>
      <w:r w:rsidR="00DA3C2F" w:rsidRPr="00ED5AD0">
        <w:rPr>
          <w:sz w:val="24"/>
          <w:szCs w:val="24"/>
        </w:rPr>
        <w:t>s</w:t>
      </w:r>
      <w:r w:rsidR="00EA654F" w:rsidRPr="00ED5AD0">
        <w:rPr>
          <w:sz w:val="24"/>
          <w:szCs w:val="24"/>
        </w:rPr>
        <w:t xml:space="preserve"> that</w:t>
      </w:r>
      <w:r w:rsidR="00DA3C2F" w:rsidRPr="00ED5AD0">
        <w:rPr>
          <w:sz w:val="24"/>
          <w:szCs w:val="24"/>
        </w:rPr>
        <w:t xml:space="preserve"> line-manage </w:t>
      </w:r>
      <w:r w:rsidR="00415182" w:rsidRPr="00ED5AD0">
        <w:rPr>
          <w:sz w:val="24"/>
          <w:szCs w:val="24"/>
        </w:rPr>
        <w:t xml:space="preserve">Assistant </w:t>
      </w:r>
      <w:r w:rsidRPr="00ED5AD0">
        <w:rPr>
          <w:sz w:val="24"/>
          <w:szCs w:val="24"/>
        </w:rPr>
        <w:t>Director</w:t>
      </w:r>
      <w:r w:rsidR="00415182" w:rsidRPr="00ED5AD0">
        <w:rPr>
          <w:sz w:val="24"/>
          <w:szCs w:val="24"/>
        </w:rPr>
        <w:t>s</w:t>
      </w:r>
      <w:r w:rsidR="00DA3C2F" w:rsidRPr="00ED5AD0">
        <w:rPr>
          <w:sz w:val="24"/>
          <w:szCs w:val="24"/>
        </w:rPr>
        <w:t xml:space="preserve"> are responsible for setting clear standards of expectation relating to performance or behaviour.  Any shortfall against these expectations will be identified to the </w:t>
      </w:r>
      <w:r w:rsidR="00415182" w:rsidRPr="00ED5AD0">
        <w:rPr>
          <w:sz w:val="24"/>
          <w:szCs w:val="24"/>
        </w:rPr>
        <w:t xml:space="preserve">Assistant </w:t>
      </w:r>
      <w:r w:rsidRPr="00ED5AD0">
        <w:rPr>
          <w:sz w:val="24"/>
          <w:szCs w:val="24"/>
        </w:rPr>
        <w:t>Director</w:t>
      </w:r>
      <w:r w:rsidR="00415182" w:rsidRPr="00ED5AD0">
        <w:rPr>
          <w:sz w:val="24"/>
          <w:szCs w:val="24"/>
        </w:rPr>
        <w:t xml:space="preserve"> </w:t>
      </w:r>
      <w:r w:rsidR="00DA3C2F" w:rsidRPr="00ED5AD0">
        <w:rPr>
          <w:sz w:val="24"/>
          <w:szCs w:val="24"/>
        </w:rPr>
        <w:t xml:space="preserve">by a </w:t>
      </w:r>
      <w:r w:rsidRPr="00ED5AD0">
        <w:rPr>
          <w:sz w:val="24"/>
          <w:szCs w:val="24"/>
        </w:rPr>
        <w:t>Director</w:t>
      </w:r>
      <w:r w:rsidR="00DA3C2F" w:rsidRPr="00ED5AD0">
        <w:rPr>
          <w:sz w:val="24"/>
          <w:szCs w:val="24"/>
        </w:rPr>
        <w:t xml:space="preserve">, normally at the time that the </w:t>
      </w:r>
      <w:r w:rsidRPr="00ED5AD0">
        <w:rPr>
          <w:sz w:val="24"/>
          <w:szCs w:val="24"/>
        </w:rPr>
        <w:t>Director</w:t>
      </w:r>
      <w:r w:rsidR="00DA3C2F" w:rsidRPr="00ED5AD0">
        <w:rPr>
          <w:sz w:val="24"/>
          <w:szCs w:val="24"/>
        </w:rPr>
        <w:t xml:space="preserve"> becomes aware of the issue.  Often, improvement will be sought through the introduction of appropriate support or training without further measures being employed.  </w:t>
      </w:r>
      <w:proofErr w:type="gramStart"/>
      <w:r w:rsidR="00DA3C2F" w:rsidRPr="00ED5AD0">
        <w:rPr>
          <w:sz w:val="24"/>
          <w:szCs w:val="24"/>
        </w:rPr>
        <w:t>If</w:t>
      </w:r>
      <w:proofErr w:type="gramEnd"/>
      <w:r w:rsidR="00DA3C2F" w:rsidRPr="00ED5AD0">
        <w:rPr>
          <w:sz w:val="24"/>
          <w:szCs w:val="24"/>
        </w:rPr>
        <w:t xml:space="preserve"> however</w:t>
      </w:r>
      <w:r w:rsidR="00415182" w:rsidRPr="00ED5AD0">
        <w:rPr>
          <w:sz w:val="24"/>
          <w:szCs w:val="24"/>
        </w:rPr>
        <w:t>,</w:t>
      </w:r>
      <w:r w:rsidR="00DA3C2F" w:rsidRPr="00ED5AD0">
        <w:rPr>
          <w:sz w:val="24"/>
          <w:szCs w:val="24"/>
        </w:rPr>
        <w:t xml:space="preserve"> the matter is sufficiently serious or an improvement identified as necessary is not initially forthcoming within a timescale required by the </w:t>
      </w:r>
      <w:r w:rsidRPr="00ED5AD0">
        <w:rPr>
          <w:sz w:val="24"/>
          <w:szCs w:val="24"/>
        </w:rPr>
        <w:t>Director</w:t>
      </w:r>
      <w:r w:rsidR="00DA3C2F" w:rsidRPr="00ED5AD0">
        <w:rPr>
          <w:sz w:val="24"/>
          <w:szCs w:val="24"/>
        </w:rPr>
        <w:t xml:space="preserve"> then that </w:t>
      </w:r>
      <w:r w:rsidRPr="00ED5AD0">
        <w:rPr>
          <w:sz w:val="24"/>
          <w:szCs w:val="24"/>
        </w:rPr>
        <w:t>Director</w:t>
      </w:r>
      <w:r w:rsidR="00DA3C2F" w:rsidRPr="00ED5AD0">
        <w:rPr>
          <w:sz w:val="24"/>
          <w:szCs w:val="24"/>
        </w:rPr>
        <w:t xml:space="preserve"> may choose to freeze the </w:t>
      </w:r>
      <w:r w:rsidR="00415182" w:rsidRPr="00ED5AD0">
        <w:rPr>
          <w:sz w:val="24"/>
          <w:szCs w:val="24"/>
        </w:rPr>
        <w:t xml:space="preserve">Assistant </w:t>
      </w:r>
      <w:r w:rsidRPr="00ED5AD0">
        <w:rPr>
          <w:sz w:val="24"/>
          <w:szCs w:val="24"/>
        </w:rPr>
        <w:t>Director</w:t>
      </w:r>
      <w:r w:rsidR="00DA3C2F" w:rsidRPr="00ED5AD0">
        <w:rPr>
          <w:sz w:val="24"/>
          <w:szCs w:val="24"/>
        </w:rPr>
        <w:t xml:space="preserve"> on their current pay point (prevent progression to the next pay point when it would otherwise have been made) or to reduce their pay by one or more pay points.</w:t>
      </w:r>
    </w:p>
    <w:p w14:paraId="1D09EB02" w14:textId="77777777" w:rsidR="00415182" w:rsidRPr="00ED5AD0" w:rsidRDefault="00DA3C2F" w:rsidP="00D966C6">
      <w:pPr>
        <w:pStyle w:val="NormalIndent"/>
        <w:numPr>
          <w:ilvl w:val="0"/>
          <w:numId w:val="28"/>
        </w:numPr>
        <w:jc w:val="left"/>
        <w:rPr>
          <w:sz w:val="24"/>
          <w:szCs w:val="24"/>
        </w:rPr>
      </w:pPr>
      <w:r w:rsidRPr="00ED5AD0">
        <w:rPr>
          <w:sz w:val="24"/>
          <w:szCs w:val="24"/>
        </w:rPr>
        <w:lastRenderedPageBreak/>
        <w:t xml:space="preserve">One month’s notice will be given of the intention to reduce pay.  </w:t>
      </w:r>
    </w:p>
    <w:p w14:paraId="5C9BAC95" w14:textId="3869F64D" w:rsidR="00DA3C2F" w:rsidRPr="00ED5AD0" w:rsidRDefault="00DA3C2F" w:rsidP="00D966C6">
      <w:pPr>
        <w:pStyle w:val="NormalIndent"/>
        <w:numPr>
          <w:ilvl w:val="0"/>
          <w:numId w:val="28"/>
        </w:numPr>
        <w:jc w:val="left"/>
        <w:rPr>
          <w:sz w:val="24"/>
          <w:szCs w:val="24"/>
        </w:rPr>
      </w:pPr>
      <w:r w:rsidRPr="00ED5AD0">
        <w:rPr>
          <w:sz w:val="24"/>
          <w:szCs w:val="24"/>
        </w:rPr>
        <w:t xml:space="preserve">Should pay be reduced, this change will be applied for a minimum of six months.  The length of reduction will be determined by the </w:t>
      </w:r>
      <w:r w:rsidR="005103EB" w:rsidRPr="00ED5AD0">
        <w:rPr>
          <w:sz w:val="24"/>
          <w:szCs w:val="24"/>
        </w:rPr>
        <w:t>Director</w:t>
      </w:r>
      <w:r w:rsidRPr="00ED5AD0">
        <w:rPr>
          <w:sz w:val="24"/>
          <w:szCs w:val="24"/>
        </w:rPr>
        <w:t xml:space="preserve">. At the end of the period defined by the </w:t>
      </w:r>
      <w:r w:rsidR="005103EB" w:rsidRPr="00ED5AD0">
        <w:rPr>
          <w:sz w:val="24"/>
          <w:szCs w:val="24"/>
        </w:rPr>
        <w:t>Director</w:t>
      </w:r>
      <w:r w:rsidRPr="00ED5AD0">
        <w:rPr>
          <w:sz w:val="24"/>
          <w:szCs w:val="24"/>
        </w:rPr>
        <w:t xml:space="preserve">, during which time progress against an improvement plan will be monitored, should improvement be satisfactory then pay will be returned to the previous pay point. </w:t>
      </w:r>
    </w:p>
    <w:p w14:paraId="5B38B3EF" w14:textId="1EC9D9EC" w:rsidR="00DA3C2F" w:rsidRPr="00ED5AD0" w:rsidRDefault="00DA3C2F" w:rsidP="00D32888">
      <w:pPr>
        <w:pStyle w:val="NormalIndent"/>
        <w:numPr>
          <w:ilvl w:val="0"/>
          <w:numId w:val="28"/>
        </w:numPr>
        <w:jc w:val="left"/>
        <w:rPr>
          <w:sz w:val="24"/>
          <w:szCs w:val="24"/>
        </w:rPr>
      </w:pPr>
      <w:r w:rsidRPr="00ED5AD0">
        <w:rPr>
          <w:sz w:val="24"/>
          <w:szCs w:val="24"/>
        </w:rPr>
        <w:t xml:space="preserve">If pay is frozen then progress against an improvement plan will be monitored. If performance or behaviour does improve sufficiently then from the point at which this determined by the </w:t>
      </w:r>
      <w:proofErr w:type="gramStart"/>
      <w:r w:rsidR="005103EB" w:rsidRPr="00ED5AD0">
        <w:rPr>
          <w:sz w:val="24"/>
          <w:szCs w:val="24"/>
        </w:rPr>
        <w:t>Director</w:t>
      </w:r>
      <w:proofErr w:type="gramEnd"/>
      <w:r w:rsidRPr="00ED5AD0">
        <w:rPr>
          <w:sz w:val="24"/>
          <w:szCs w:val="24"/>
        </w:rPr>
        <w:t xml:space="preserve"> then progression will be made to the next pay point.   If further progression within the grade is possible then the top pay point will be paid one year from the date that the pay had been “un-frozen”.   </w:t>
      </w:r>
    </w:p>
    <w:p w14:paraId="295BAF91" w14:textId="3884C2FC" w:rsidR="00DA3C2F" w:rsidRPr="00ED5AD0" w:rsidRDefault="00DA3C2F" w:rsidP="00D32888">
      <w:pPr>
        <w:pStyle w:val="NormalIndent"/>
        <w:numPr>
          <w:ilvl w:val="0"/>
          <w:numId w:val="28"/>
        </w:numPr>
        <w:jc w:val="left"/>
        <w:rPr>
          <w:sz w:val="24"/>
          <w:szCs w:val="24"/>
        </w:rPr>
      </w:pPr>
      <w:r w:rsidRPr="00ED5AD0">
        <w:rPr>
          <w:sz w:val="24"/>
          <w:szCs w:val="24"/>
        </w:rPr>
        <w:t xml:space="preserve">The above measures may be applied outside a formal capability procedure.  If, however, the measures are applied to </w:t>
      </w:r>
      <w:proofErr w:type="spellStart"/>
      <w:proofErr w:type="gramStart"/>
      <w:r w:rsidRPr="00ED5AD0">
        <w:rPr>
          <w:sz w:val="24"/>
          <w:szCs w:val="24"/>
        </w:rPr>
        <w:t>a</w:t>
      </w:r>
      <w:proofErr w:type="spellEnd"/>
      <w:proofErr w:type="gramEnd"/>
      <w:r w:rsidRPr="00ED5AD0">
        <w:rPr>
          <w:sz w:val="24"/>
          <w:szCs w:val="24"/>
        </w:rPr>
        <w:t xml:space="preserve"> </w:t>
      </w:r>
      <w:r w:rsidR="00415182" w:rsidRPr="00ED5AD0">
        <w:rPr>
          <w:sz w:val="24"/>
          <w:szCs w:val="24"/>
        </w:rPr>
        <w:t xml:space="preserve">Assistant </w:t>
      </w:r>
      <w:r w:rsidR="005103EB" w:rsidRPr="00ED5AD0">
        <w:rPr>
          <w:sz w:val="24"/>
          <w:szCs w:val="24"/>
        </w:rPr>
        <w:t>Director</w:t>
      </w:r>
      <w:r w:rsidRPr="00ED5AD0">
        <w:rPr>
          <w:sz w:val="24"/>
          <w:szCs w:val="24"/>
        </w:rPr>
        <w:t xml:space="preserve"> and the measures are applied for a year or more, it is likely that the matter will be dealt with under a formal capability procedure.  </w:t>
      </w:r>
    </w:p>
    <w:p w14:paraId="3D6B1C0D" w14:textId="77777777" w:rsidR="00DA3C2F" w:rsidRPr="00ED5AD0" w:rsidRDefault="00DA3C2F" w:rsidP="00D32888">
      <w:pPr>
        <w:pStyle w:val="NormalIndent"/>
        <w:numPr>
          <w:ilvl w:val="0"/>
          <w:numId w:val="28"/>
        </w:numPr>
        <w:jc w:val="left"/>
        <w:rPr>
          <w:sz w:val="24"/>
          <w:szCs w:val="24"/>
        </w:rPr>
      </w:pPr>
      <w:r w:rsidRPr="00ED5AD0">
        <w:rPr>
          <w:sz w:val="24"/>
          <w:szCs w:val="24"/>
        </w:rPr>
        <w:t>The broad terms and process of the Capability Procedure defined in the Employee Handbook will be used to deal with any serious or persistent problems of capability and the use of this formal procedure may be applied either in conjunction with or separate to the measures relating to pay freezing or reduction.</w:t>
      </w:r>
    </w:p>
    <w:p w14:paraId="511FF869" w14:textId="21F81A7E" w:rsidR="00DA3C2F" w:rsidRPr="00ED5AD0" w:rsidRDefault="00DA3C2F" w:rsidP="00D32888">
      <w:pPr>
        <w:pStyle w:val="NormalIndent"/>
        <w:numPr>
          <w:ilvl w:val="0"/>
          <w:numId w:val="28"/>
        </w:numPr>
        <w:jc w:val="left"/>
        <w:rPr>
          <w:sz w:val="24"/>
          <w:szCs w:val="24"/>
        </w:rPr>
      </w:pPr>
      <w:r w:rsidRPr="00ED5AD0">
        <w:rPr>
          <w:sz w:val="24"/>
          <w:szCs w:val="24"/>
        </w:rPr>
        <w:t xml:space="preserve">A final right of appeal exists to a </w:t>
      </w:r>
      <w:proofErr w:type="gramStart"/>
      <w:r w:rsidR="005103EB" w:rsidRPr="00ED5AD0">
        <w:rPr>
          <w:sz w:val="24"/>
          <w:szCs w:val="24"/>
        </w:rPr>
        <w:t>Director</w:t>
      </w:r>
      <w:r w:rsidRPr="00ED5AD0">
        <w:rPr>
          <w:sz w:val="24"/>
          <w:szCs w:val="24"/>
        </w:rPr>
        <w:t>’s</w:t>
      </w:r>
      <w:proofErr w:type="gramEnd"/>
      <w:r w:rsidRPr="00ED5AD0">
        <w:rPr>
          <w:sz w:val="24"/>
          <w:szCs w:val="24"/>
        </w:rPr>
        <w:t xml:space="preserve"> decision to freeze or reduce pay, or to the length of time for which this pay detriment is applied.  This appeal should be addressed </w:t>
      </w:r>
      <w:proofErr w:type="gramStart"/>
      <w:r w:rsidRPr="00ED5AD0">
        <w:rPr>
          <w:sz w:val="24"/>
          <w:szCs w:val="24"/>
        </w:rPr>
        <w:t>to, and</w:t>
      </w:r>
      <w:proofErr w:type="gramEnd"/>
      <w:r w:rsidRPr="00ED5AD0">
        <w:rPr>
          <w:sz w:val="24"/>
          <w:szCs w:val="24"/>
        </w:rPr>
        <w:t xml:space="preserve"> will be dealt with by the Chief Executive or an officer nominated by the Chief Executive.</w:t>
      </w:r>
    </w:p>
    <w:bookmarkEnd w:id="6"/>
    <w:p w14:paraId="5289BE3E" w14:textId="77777777" w:rsidR="00DA3C2F" w:rsidRPr="00ED5AD0" w:rsidRDefault="00DA3C2F" w:rsidP="00DA3C2F">
      <w:pPr>
        <w:ind w:left="-993"/>
        <w:jc w:val="right"/>
        <w:sectPr w:rsidR="00DA3C2F" w:rsidRPr="00ED5AD0" w:rsidSect="003C05E8">
          <w:pgSz w:w="12240" w:h="15840" w:code="1"/>
          <w:pgMar w:top="567" w:right="900" w:bottom="567" w:left="567" w:header="289" w:footer="720" w:gutter="0"/>
          <w:cols w:space="720"/>
          <w:docGrid w:linePitch="326"/>
        </w:sectPr>
      </w:pPr>
    </w:p>
    <w:p w14:paraId="09543229" w14:textId="4F0C2B66" w:rsidR="00240B0C" w:rsidRPr="00ED5AD0" w:rsidRDefault="00F16738" w:rsidP="00DA3C2F">
      <w:pPr>
        <w:ind w:left="-993"/>
        <w:jc w:val="right"/>
        <w:rPr>
          <w:b/>
          <w:bCs/>
        </w:rPr>
      </w:pPr>
      <w:r w:rsidRPr="00ED5AD0">
        <w:rPr>
          <w:b/>
          <w:bCs/>
        </w:rPr>
        <w:lastRenderedPageBreak/>
        <w:t xml:space="preserve">Appendix </w:t>
      </w:r>
      <w:r w:rsidR="00160E37" w:rsidRPr="00ED5AD0">
        <w:rPr>
          <w:b/>
          <w:bCs/>
        </w:rPr>
        <w:t>E</w:t>
      </w:r>
    </w:p>
    <w:p w14:paraId="7E14F601" w14:textId="77777777" w:rsidR="00DA3C2F" w:rsidRPr="00ED5AD0" w:rsidRDefault="00DA3C2F" w:rsidP="00DA3C2F">
      <w:pPr>
        <w:ind w:left="-993"/>
        <w:jc w:val="right"/>
      </w:pPr>
    </w:p>
    <w:p w14:paraId="052E7D87" w14:textId="77777777" w:rsidR="00240B0C" w:rsidRPr="00ED5AD0" w:rsidRDefault="00240B0C" w:rsidP="00D9180A">
      <w:pPr>
        <w:pStyle w:val="Title"/>
        <w:ind w:left="851" w:right="283"/>
        <w:jc w:val="left"/>
        <w:rPr>
          <w:szCs w:val="28"/>
          <w:u w:val="none"/>
        </w:rPr>
      </w:pPr>
      <w:r w:rsidRPr="00ED5AD0">
        <w:rPr>
          <w:szCs w:val="28"/>
          <w:u w:val="none"/>
        </w:rPr>
        <w:t xml:space="preserve">Enabling employment security - </w:t>
      </w:r>
    </w:p>
    <w:p w14:paraId="63924C94" w14:textId="77777777" w:rsidR="00240B0C" w:rsidRPr="00ED5AD0" w:rsidRDefault="00240B0C" w:rsidP="00D9180A">
      <w:pPr>
        <w:pStyle w:val="Title"/>
        <w:ind w:left="851" w:right="283"/>
        <w:jc w:val="left"/>
        <w:rPr>
          <w:szCs w:val="28"/>
          <w:u w:val="none"/>
        </w:rPr>
      </w:pPr>
      <w:r w:rsidRPr="00ED5AD0">
        <w:rPr>
          <w:szCs w:val="28"/>
          <w:u w:val="none"/>
        </w:rPr>
        <w:t xml:space="preserve">Protocol for managing changes in posts throughout the </w:t>
      </w:r>
      <w:r w:rsidR="000E48ED" w:rsidRPr="00ED5AD0">
        <w:rPr>
          <w:szCs w:val="28"/>
          <w:u w:val="none"/>
        </w:rPr>
        <w:t>Council</w:t>
      </w:r>
    </w:p>
    <w:p w14:paraId="7E90ADDE" w14:textId="77777777" w:rsidR="00240B0C" w:rsidRPr="00ED5AD0" w:rsidRDefault="00240B0C" w:rsidP="00D9180A">
      <w:pPr>
        <w:pStyle w:val="Title"/>
        <w:ind w:left="851" w:right="283"/>
        <w:jc w:val="left"/>
        <w:rPr>
          <w:rFonts w:cs="Arial"/>
          <w:b w:val="0"/>
          <w:sz w:val="24"/>
          <w:szCs w:val="24"/>
          <w:u w:val="none"/>
        </w:rPr>
      </w:pPr>
    </w:p>
    <w:p w14:paraId="0F6B1144" w14:textId="77777777" w:rsidR="00240B0C" w:rsidRPr="00ED5AD0" w:rsidRDefault="00DB62C7" w:rsidP="00D9180A">
      <w:pPr>
        <w:ind w:left="851" w:right="283"/>
        <w:rPr>
          <w:rFonts w:cs="Arial"/>
          <w:bCs/>
          <w:szCs w:val="24"/>
        </w:rPr>
      </w:pPr>
      <w:r w:rsidRPr="00ED5AD0">
        <w:rPr>
          <w:rFonts w:cs="Arial"/>
          <w:bCs/>
          <w:szCs w:val="24"/>
        </w:rPr>
        <w:t>Updated December 2016</w:t>
      </w:r>
    </w:p>
    <w:p w14:paraId="19821BAC" w14:textId="77777777" w:rsidR="00DB62C7" w:rsidRPr="00ED5AD0" w:rsidRDefault="00DB62C7" w:rsidP="00D9180A">
      <w:pPr>
        <w:ind w:left="851" w:right="283"/>
        <w:rPr>
          <w:rFonts w:cs="Arial"/>
          <w:bCs/>
          <w:szCs w:val="24"/>
        </w:rPr>
      </w:pPr>
    </w:p>
    <w:p w14:paraId="2F6C5147" w14:textId="77777777" w:rsidR="00240B0C" w:rsidRPr="00ED5AD0" w:rsidRDefault="00240B0C" w:rsidP="00D9180A">
      <w:pPr>
        <w:pStyle w:val="Heading1"/>
        <w:ind w:left="851" w:right="283"/>
        <w:rPr>
          <w:rFonts w:cs="Arial"/>
          <w:szCs w:val="24"/>
        </w:rPr>
      </w:pPr>
      <w:bookmarkStart w:id="7" w:name="_Toc281480742"/>
      <w:r w:rsidRPr="00ED5AD0">
        <w:rPr>
          <w:rFonts w:cs="Arial"/>
          <w:szCs w:val="24"/>
        </w:rPr>
        <w:t>1.  Background</w:t>
      </w:r>
      <w:bookmarkEnd w:id="7"/>
    </w:p>
    <w:p w14:paraId="6976E8AF" w14:textId="77777777" w:rsidR="00240B0C" w:rsidRPr="00ED5AD0" w:rsidRDefault="00240B0C" w:rsidP="00D9180A">
      <w:pPr>
        <w:ind w:left="851" w:right="283"/>
        <w:rPr>
          <w:rFonts w:cs="Arial"/>
          <w:szCs w:val="24"/>
        </w:rPr>
      </w:pPr>
    </w:p>
    <w:p w14:paraId="11C95DE4" w14:textId="77777777" w:rsidR="00240B0C" w:rsidRPr="00ED5AD0" w:rsidRDefault="00DB62C7" w:rsidP="00D9180A">
      <w:pPr>
        <w:ind w:left="851" w:right="283"/>
        <w:rPr>
          <w:rFonts w:cs="Arial"/>
          <w:szCs w:val="24"/>
        </w:rPr>
      </w:pPr>
      <w:r w:rsidRPr="00ED5AD0">
        <w:rPr>
          <w:rFonts w:cs="Arial"/>
          <w:szCs w:val="24"/>
        </w:rPr>
        <w:t>As with most public sector organisations, the</w:t>
      </w:r>
      <w:r w:rsidR="00240B0C" w:rsidRPr="00ED5AD0">
        <w:rPr>
          <w:rFonts w:cs="Arial"/>
          <w:szCs w:val="24"/>
        </w:rPr>
        <w:t xml:space="preserve"> Council will be required to make budgetary savings </w:t>
      </w:r>
      <w:r w:rsidRPr="00ED5AD0">
        <w:rPr>
          <w:rFonts w:cs="Arial"/>
          <w:szCs w:val="24"/>
        </w:rPr>
        <w:t xml:space="preserve">for the foreseeable future. It </w:t>
      </w:r>
      <w:r w:rsidR="00240B0C" w:rsidRPr="00ED5AD0">
        <w:rPr>
          <w:rFonts w:cs="Arial"/>
          <w:szCs w:val="24"/>
        </w:rPr>
        <w:t>is expected that</w:t>
      </w:r>
      <w:r w:rsidRPr="00ED5AD0">
        <w:rPr>
          <w:rFonts w:cs="Arial"/>
          <w:szCs w:val="24"/>
        </w:rPr>
        <w:t xml:space="preserve"> these savings </w:t>
      </w:r>
      <w:r w:rsidR="00240B0C" w:rsidRPr="00ED5AD0">
        <w:rPr>
          <w:rFonts w:cs="Arial"/>
          <w:szCs w:val="24"/>
        </w:rPr>
        <w:t xml:space="preserve">will not be able to be met by efficiencies alone and that some services may have to be significantly reduced or </w:t>
      </w:r>
      <w:r w:rsidRPr="00ED5AD0">
        <w:rPr>
          <w:rFonts w:cs="Arial"/>
          <w:szCs w:val="24"/>
        </w:rPr>
        <w:t xml:space="preserve">to </w:t>
      </w:r>
      <w:r w:rsidR="00240B0C" w:rsidRPr="00ED5AD0">
        <w:rPr>
          <w:rFonts w:cs="Arial"/>
          <w:szCs w:val="24"/>
        </w:rPr>
        <w:t>cease.</w:t>
      </w:r>
    </w:p>
    <w:p w14:paraId="75239EE9" w14:textId="77777777" w:rsidR="00240B0C" w:rsidRPr="00ED5AD0" w:rsidRDefault="00240B0C" w:rsidP="00D9180A">
      <w:pPr>
        <w:ind w:left="851" w:right="283"/>
        <w:rPr>
          <w:rFonts w:cs="Arial"/>
          <w:szCs w:val="24"/>
        </w:rPr>
      </w:pPr>
    </w:p>
    <w:p w14:paraId="72943B7D" w14:textId="77777777" w:rsidR="00240B0C" w:rsidRPr="00ED5AD0" w:rsidRDefault="00240B0C" w:rsidP="00D9180A">
      <w:pPr>
        <w:ind w:left="851" w:right="283"/>
        <w:rPr>
          <w:rFonts w:cs="Arial"/>
          <w:szCs w:val="24"/>
        </w:rPr>
      </w:pPr>
      <w:r w:rsidRPr="00ED5AD0">
        <w:rPr>
          <w:rFonts w:cs="Arial"/>
          <w:szCs w:val="24"/>
        </w:rPr>
        <w:t xml:space="preserve">This has implications for our workforce and as a good employer with a track record of </w:t>
      </w:r>
      <w:r w:rsidR="00DB62C7" w:rsidRPr="00ED5AD0">
        <w:rPr>
          <w:rFonts w:cs="Arial"/>
          <w:szCs w:val="24"/>
        </w:rPr>
        <w:t xml:space="preserve">working to </w:t>
      </w:r>
      <w:r w:rsidRPr="00ED5AD0">
        <w:rPr>
          <w:rFonts w:cs="Arial"/>
          <w:szCs w:val="24"/>
        </w:rPr>
        <w:t xml:space="preserve">avoid compulsory redundancy this protocol is intended to </w:t>
      </w:r>
      <w:r w:rsidR="00DB62C7" w:rsidRPr="00ED5AD0">
        <w:rPr>
          <w:rFonts w:cs="Arial"/>
          <w:szCs w:val="24"/>
        </w:rPr>
        <w:t>provide a supportive mechanism for managing change</w:t>
      </w:r>
      <w:r w:rsidRPr="00ED5AD0">
        <w:rPr>
          <w:rFonts w:cs="Arial"/>
          <w:szCs w:val="24"/>
        </w:rPr>
        <w:t xml:space="preserve">.  </w:t>
      </w:r>
    </w:p>
    <w:p w14:paraId="3BBB2B83" w14:textId="77777777" w:rsidR="00240B0C" w:rsidRPr="00ED5AD0" w:rsidRDefault="00240B0C" w:rsidP="00D9180A">
      <w:pPr>
        <w:ind w:left="851" w:right="283"/>
        <w:rPr>
          <w:rFonts w:cs="Arial"/>
          <w:szCs w:val="24"/>
        </w:rPr>
      </w:pPr>
    </w:p>
    <w:p w14:paraId="1681193C" w14:textId="77777777" w:rsidR="00240B0C" w:rsidRPr="00ED5AD0" w:rsidRDefault="00240B0C" w:rsidP="00D9180A">
      <w:pPr>
        <w:pStyle w:val="Heading1"/>
        <w:ind w:left="851" w:right="283"/>
        <w:rPr>
          <w:rFonts w:cs="Arial"/>
          <w:szCs w:val="24"/>
        </w:rPr>
      </w:pPr>
      <w:bookmarkStart w:id="8" w:name="_Toc281480743"/>
      <w:r w:rsidRPr="00ED5AD0">
        <w:rPr>
          <w:rFonts w:cs="Arial"/>
          <w:szCs w:val="24"/>
        </w:rPr>
        <w:t>2.  Aim</w:t>
      </w:r>
      <w:bookmarkEnd w:id="8"/>
    </w:p>
    <w:p w14:paraId="71B1C1B3" w14:textId="77777777" w:rsidR="00240B0C" w:rsidRPr="00ED5AD0" w:rsidRDefault="00240B0C" w:rsidP="00D9180A">
      <w:pPr>
        <w:ind w:left="851" w:right="283"/>
        <w:rPr>
          <w:rFonts w:cs="Arial"/>
          <w:szCs w:val="24"/>
        </w:rPr>
      </w:pPr>
    </w:p>
    <w:p w14:paraId="4B60E4FD" w14:textId="77777777" w:rsidR="00240B0C" w:rsidRPr="00ED5AD0" w:rsidRDefault="00240B0C" w:rsidP="00D9180A">
      <w:pPr>
        <w:ind w:left="851" w:right="283"/>
        <w:rPr>
          <w:rFonts w:cs="Arial"/>
          <w:szCs w:val="24"/>
        </w:rPr>
      </w:pPr>
      <w:r w:rsidRPr="00ED5AD0">
        <w:rPr>
          <w:rFonts w:cs="Arial"/>
          <w:szCs w:val="24"/>
        </w:rPr>
        <w:t xml:space="preserve">The aim of this protocol is </w:t>
      </w:r>
      <w:proofErr w:type="gramStart"/>
      <w:r w:rsidRPr="00ED5AD0">
        <w:rPr>
          <w:rFonts w:cs="Arial"/>
          <w:szCs w:val="24"/>
        </w:rPr>
        <w:t>to :</w:t>
      </w:r>
      <w:proofErr w:type="gramEnd"/>
    </w:p>
    <w:p w14:paraId="5F3DAC94" w14:textId="77777777" w:rsidR="00240B0C" w:rsidRPr="00ED5AD0" w:rsidRDefault="00240B0C" w:rsidP="00D9180A">
      <w:pPr>
        <w:ind w:left="851" w:right="283"/>
        <w:rPr>
          <w:rFonts w:cs="Arial"/>
          <w:szCs w:val="24"/>
        </w:rPr>
      </w:pPr>
    </w:p>
    <w:p w14:paraId="5C128E78" w14:textId="77777777" w:rsidR="00240B0C" w:rsidRPr="00ED5AD0" w:rsidRDefault="00240B0C" w:rsidP="00D32888">
      <w:pPr>
        <w:numPr>
          <w:ilvl w:val="0"/>
          <w:numId w:val="22"/>
        </w:numPr>
        <w:ind w:left="851" w:right="283" w:hanging="142"/>
        <w:rPr>
          <w:rFonts w:cs="Arial"/>
          <w:szCs w:val="24"/>
        </w:rPr>
      </w:pPr>
      <w:r w:rsidRPr="00ED5AD0">
        <w:rPr>
          <w:rFonts w:cs="Arial"/>
          <w:szCs w:val="24"/>
        </w:rPr>
        <w:t>give as much employment security as possible to existing employees</w:t>
      </w:r>
    </w:p>
    <w:p w14:paraId="4EF0703A" w14:textId="77777777" w:rsidR="00240B0C" w:rsidRPr="00ED5AD0" w:rsidRDefault="00240B0C" w:rsidP="00D32888">
      <w:pPr>
        <w:numPr>
          <w:ilvl w:val="0"/>
          <w:numId w:val="22"/>
        </w:numPr>
        <w:ind w:left="851" w:right="283" w:hanging="142"/>
        <w:rPr>
          <w:rFonts w:cs="Arial"/>
          <w:szCs w:val="24"/>
        </w:rPr>
      </w:pPr>
      <w:r w:rsidRPr="00ED5AD0">
        <w:rPr>
          <w:rFonts w:cs="Arial"/>
          <w:szCs w:val="24"/>
        </w:rPr>
        <w:t>utilise the existing skills and knowledge of employees for the overall benefit of the Council</w:t>
      </w:r>
    </w:p>
    <w:p w14:paraId="790E4AB7" w14:textId="77777777" w:rsidR="00240B0C" w:rsidRPr="00ED5AD0" w:rsidRDefault="00240B0C" w:rsidP="00D32888">
      <w:pPr>
        <w:pStyle w:val="ListParagraph"/>
        <w:numPr>
          <w:ilvl w:val="0"/>
          <w:numId w:val="22"/>
        </w:numPr>
        <w:spacing w:after="0" w:line="240" w:lineRule="auto"/>
        <w:ind w:left="851" w:right="283" w:hanging="142"/>
      </w:pPr>
      <w:r w:rsidRPr="00ED5AD0">
        <w:t xml:space="preserve">avoid redundancies as far as possible  </w:t>
      </w:r>
    </w:p>
    <w:p w14:paraId="34555308" w14:textId="77777777" w:rsidR="00240B0C" w:rsidRPr="00ED5AD0" w:rsidRDefault="00240B0C" w:rsidP="00D32888">
      <w:pPr>
        <w:pStyle w:val="ListParagraph"/>
        <w:numPr>
          <w:ilvl w:val="0"/>
          <w:numId w:val="22"/>
        </w:numPr>
        <w:spacing w:after="0" w:line="240" w:lineRule="auto"/>
        <w:ind w:left="851" w:right="283" w:hanging="142"/>
      </w:pPr>
      <w:r w:rsidRPr="00ED5AD0">
        <w:t>operate a fair process for retaining employees, where workload is changing</w:t>
      </w:r>
    </w:p>
    <w:p w14:paraId="485F19D2" w14:textId="77777777" w:rsidR="00240B0C" w:rsidRPr="00ED5AD0" w:rsidRDefault="00240B0C" w:rsidP="00D32888">
      <w:pPr>
        <w:numPr>
          <w:ilvl w:val="0"/>
          <w:numId w:val="22"/>
        </w:numPr>
        <w:ind w:left="851" w:right="283" w:hanging="142"/>
        <w:rPr>
          <w:rFonts w:cs="Arial"/>
          <w:szCs w:val="24"/>
        </w:rPr>
      </w:pPr>
      <w:r w:rsidRPr="00ED5AD0">
        <w:rPr>
          <w:rFonts w:cs="Arial"/>
          <w:szCs w:val="24"/>
        </w:rPr>
        <w:t>offer personal development opportunities on a fair basis</w:t>
      </w:r>
    </w:p>
    <w:p w14:paraId="036E64CF" w14:textId="77777777" w:rsidR="00240B0C" w:rsidRPr="00ED5AD0" w:rsidRDefault="00240B0C" w:rsidP="00D9180A">
      <w:pPr>
        <w:ind w:left="851" w:right="283"/>
        <w:rPr>
          <w:rFonts w:cs="Arial"/>
          <w:szCs w:val="24"/>
        </w:rPr>
      </w:pPr>
    </w:p>
    <w:p w14:paraId="3D1E12AB" w14:textId="77777777" w:rsidR="00240B0C" w:rsidRPr="00ED5AD0" w:rsidRDefault="00240B0C" w:rsidP="00D9180A">
      <w:pPr>
        <w:ind w:left="851" w:right="283"/>
        <w:rPr>
          <w:rFonts w:cs="Arial"/>
          <w:b/>
          <w:szCs w:val="24"/>
        </w:rPr>
      </w:pPr>
      <w:r w:rsidRPr="00ED5AD0">
        <w:rPr>
          <w:rFonts w:cs="Arial"/>
          <w:b/>
          <w:szCs w:val="24"/>
        </w:rPr>
        <w:t>3.  Vacancy Management</w:t>
      </w:r>
    </w:p>
    <w:p w14:paraId="45BF102C" w14:textId="77777777" w:rsidR="00240B0C" w:rsidRPr="00ED5AD0" w:rsidRDefault="00240B0C" w:rsidP="00D9180A">
      <w:pPr>
        <w:ind w:left="851" w:right="283"/>
        <w:rPr>
          <w:rFonts w:cs="Arial"/>
          <w:szCs w:val="24"/>
          <w:u w:val="single"/>
        </w:rPr>
      </w:pPr>
    </w:p>
    <w:p w14:paraId="4DDC50F5" w14:textId="77777777" w:rsidR="00240B0C" w:rsidRPr="00ED5AD0" w:rsidRDefault="00D9180A" w:rsidP="00D9180A">
      <w:pPr>
        <w:ind w:left="851" w:right="283"/>
        <w:rPr>
          <w:rFonts w:cs="Arial"/>
          <w:szCs w:val="24"/>
        </w:rPr>
      </w:pPr>
      <w:r w:rsidRPr="00ED5AD0">
        <w:rPr>
          <w:rFonts w:cs="Arial"/>
          <w:szCs w:val="24"/>
        </w:rPr>
        <w:t>In cases when employees are at potential risk of redundancy, the following protocol is observed:</w:t>
      </w:r>
    </w:p>
    <w:p w14:paraId="181AB334" w14:textId="77777777" w:rsidR="00D9180A" w:rsidRPr="00ED5AD0" w:rsidRDefault="00D9180A" w:rsidP="00D9180A">
      <w:pPr>
        <w:ind w:left="851" w:right="283"/>
        <w:rPr>
          <w:rFonts w:cs="Arial"/>
          <w:szCs w:val="24"/>
        </w:rPr>
      </w:pPr>
    </w:p>
    <w:p w14:paraId="53599074" w14:textId="77777777" w:rsidR="00240B0C" w:rsidRPr="00ED5AD0" w:rsidRDefault="00240B0C" w:rsidP="00D32888">
      <w:pPr>
        <w:numPr>
          <w:ilvl w:val="0"/>
          <w:numId w:val="23"/>
        </w:numPr>
        <w:ind w:left="851" w:right="283" w:hanging="218"/>
        <w:rPr>
          <w:rFonts w:cs="Arial"/>
          <w:szCs w:val="24"/>
        </w:rPr>
      </w:pPr>
      <w:r w:rsidRPr="00ED5AD0">
        <w:rPr>
          <w:rFonts w:cs="Arial"/>
          <w:szCs w:val="24"/>
        </w:rPr>
        <w:t xml:space="preserve">Confirmation </w:t>
      </w:r>
      <w:r w:rsidR="00D9180A" w:rsidRPr="00ED5AD0">
        <w:rPr>
          <w:rFonts w:cs="Arial"/>
          <w:szCs w:val="24"/>
        </w:rPr>
        <w:t xml:space="preserve">by Senior Leadership Team that a vacant </w:t>
      </w:r>
      <w:r w:rsidRPr="00ED5AD0">
        <w:rPr>
          <w:rFonts w:cs="Arial"/>
          <w:szCs w:val="24"/>
        </w:rPr>
        <w:t>post can be filled.</w:t>
      </w:r>
    </w:p>
    <w:p w14:paraId="2E07A5AE" w14:textId="77777777" w:rsidR="00240B0C" w:rsidRPr="00ED5AD0" w:rsidRDefault="00240B0C" w:rsidP="00D9180A">
      <w:pPr>
        <w:ind w:left="851" w:right="283" w:hanging="218"/>
        <w:rPr>
          <w:rFonts w:cs="Arial"/>
          <w:szCs w:val="24"/>
        </w:rPr>
      </w:pPr>
    </w:p>
    <w:p w14:paraId="766BE17E" w14:textId="471C6B92" w:rsidR="00240B0C" w:rsidRPr="00ED5AD0" w:rsidRDefault="00240B0C" w:rsidP="00D32888">
      <w:pPr>
        <w:numPr>
          <w:ilvl w:val="0"/>
          <w:numId w:val="23"/>
        </w:numPr>
        <w:ind w:left="851" w:right="283" w:hanging="218"/>
        <w:rPr>
          <w:rFonts w:cs="Arial"/>
          <w:szCs w:val="24"/>
        </w:rPr>
      </w:pPr>
      <w:r w:rsidRPr="00ED5AD0">
        <w:rPr>
          <w:rFonts w:cs="Arial"/>
          <w:szCs w:val="24"/>
        </w:rPr>
        <w:t xml:space="preserve">Consider, in liaison with </w:t>
      </w:r>
      <w:r w:rsidR="00EF3710" w:rsidRPr="00ED5AD0">
        <w:rPr>
          <w:rFonts w:cs="Arial"/>
          <w:szCs w:val="24"/>
        </w:rPr>
        <w:t>HR</w:t>
      </w:r>
      <w:r w:rsidRPr="00ED5AD0">
        <w:rPr>
          <w:rFonts w:cs="Arial"/>
          <w:szCs w:val="24"/>
        </w:rPr>
        <w:t xml:space="preserve">, whether there are redeployees/ secondees identified across the Council for whom this post is suitable, or with some adjustment to the requirements it would be suitable.  If </w:t>
      </w:r>
      <w:proofErr w:type="gramStart"/>
      <w:r w:rsidRPr="00ED5AD0">
        <w:rPr>
          <w:rFonts w:cs="Arial"/>
          <w:szCs w:val="24"/>
        </w:rPr>
        <w:t>so</w:t>
      </w:r>
      <w:proofErr w:type="gramEnd"/>
      <w:r w:rsidRPr="00ED5AD0">
        <w:rPr>
          <w:rFonts w:cs="Arial"/>
          <w:szCs w:val="24"/>
        </w:rPr>
        <w:t xml:space="preserve"> then redeployees/ secondees will be placed in the post. (see section 4.1 below).</w:t>
      </w:r>
    </w:p>
    <w:p w14:paraId="23B6A473" w14:textId="77777777" w:rsidR="00240B0C" w:rsidRPr="00ED5AD0" w:rsidRDefault="00240B0C" w:rsidP="00D9180A">
      <w:pPr>
        <w:ind w:left="851" w:right="283" w:hanging="218"/>
        <w:rPr>
          <w:rFonts w:cs="Arial"/>
          <w:szCs w:val="24"/>
        </w:rPr>
      </w:pPr>
    </w:p>
    <w:p w14:paraId="30CF850D" w14:textId="77777777" w:rsidR="00240B0C" w:rsidRPr="00ED5AD0" w:rsidRDefault="00240B0C" w:rsidP="00D32888">
      <w:pPr>
        <w:numPr>
          <w:ilvl w:val="0"/>
          <w:numId w:val="23"/>
        </w:numPr>
        <w:ind w:left="851" w:right="283" w:hanging="218"/>
        <w:rPr>
          <w:rFonts w:cs="Arial"/>
          <w:szCs w:val="24"/>
        </w:rPr>
      </w:pPr>
      <w:r w:rsidRPr="00ED5AD0">
        <w:rPr>
          <w:rFonts w:cs="Arial"/>
          <w:szCs w:val="24"/>
        </w:rPr>
        <w:t>If there are no suitable candidates from posts at risk, then the post will initially be advertised internally.  Managers will take a flexible approach to the requirements in the person specification such that existing employees can more easily be considered for the post.  This may mean that the grade is reduced and/or there is a training period required before the individual can be placed on the full grade.</w:t>
      </w:r>
    </w:p>
    <w:p w14:paraId="2430232F" w14:textId="77777777" w:rsidR="00240B0C" w:rsidRPr="00ED5AD0" w:rsidRDefault="00240B0C" w:rsidP="00D9180A">
      <w:pPr>
        <w:ind w:left="851" w:right="283" w:hanging="218"/>
        <w:rPr>
          <w:rFonts w:cs="Arial"/>
          <w:szCs w:val="24"/>
        </w:rPr>
      </w:pPr>
    </w:p>
    <w:p w14:paraId="65C28548" w14:textId="77777777" w:rsidR="00240B0C" w:rsidRPr="00ED5AD0" w:rsidRDefault="00240B0C" w:rsidP="00D32888">
      <w:pPr>
        <w:numPr>
          <w:ilvl w:val="0"/>
          <w:numId w:val="23"/>
        </w:numPr>
        <w:ind w:left="851" w:right="283" w:hanging="218"/>
        <w:rPr>
          <w:rFonts w:cs="Arial"/>
          <w:szCs w:val="24"/>
        </w:rPr>
      </w:pPr>
      <w:r w:rsidRPr="00ED5AD0">
        <w:rPr>
          <w:rFonts w:cs="Arial"/>
          <w:szCs w:val="24"/>
        </w:rPr>
        <w:lastRenderedPageBreak/>
        <w:t xml:space="preserve">Internally advertised posts might be on a permanent or temporary basis (where for example it is dependent on funding).  Existing employees who take a temporary post will not lose their employment rights and at the end of the temporary appointment the aim will be for them to revert to either their existing job or an equivalent.  </w:t>
      </w:r>
    </w:p>
    <w:p w14:paraId="728018BC" w14:textId="77777777" w:rsidR="00240B0C" w:rsidRPr="00ED5AD0" w:rsidRDefault="00240B0C" w:rsidP="00D9180A">
      <w:pPr>
        <w:ind w:left="851" w:right="283"/>
        <w:rPr>
          <w:rFonts w:cs="Arial"/>
          <w:szCs w:val="24"/>
        </w:rPr>
      </w:pPr>
    </w:p>
    <w:p w14:paraId="3741CE9F" w14:textId="77777777" w:rsidR="00240B0C" w:rsidRPr="00ED5AD0" w:rsidRDefault="00240B0C" w:rsidP="00D32888">
      <w:pPr>
        <w:numPr>
          <w:ilvl w:val="0"/>
          <w:numId w:val="23"/>
        </w:numPr>
        <w:ind w:left="851" w:right="283" w:hanging="218"/>
        <w:rPr>
          <w:rFonts w:cs="Arial"/>
          <w:szCs w:val="24"/>
        </w:rPr>
      </w:pPr>
      <w:r w:rsidRPr="00ED5AD0">
        <w:rPr>
          <w:rFonts w:cs="Arial"/>
          <w:szCs w:val="24"/>
        </w:rPr>
        <w:t xml:space="preserve">Posts that are not filled internally will be advertised externally; </w:t>
      </w:r>
      <w:proofErr w:type="gramStart"/>
      <w:r w:rsidRPr="00ED5AD0">
        <w:rPr>
          <w:rFonts w:cs="Arial"/>
          <w:szCs w:val="24"/>
        </w:rPr>
        <w:t>however</w:t>
      </w:r>
      <w:proofErr w:type="gramEnd"/>
      <w:r w:rsidRPr="00ED5AD0">
        <w:rPr>
          <w:rFonts w:cs="Arial"/>
          <w:szCs w:val="24"/>
        </w:rPr>
        <w:t xml:space="preserve"> they will be on a temporary (less than) 12 month basis unless the Chief Executive determines that there are exceptional circumstances that justify the offer of a permanent position.</w:t>
      </w:r>
    </w:p>
    <w:p w14:paraId="72A07A02" w14:textId="77777777" w:rsidR="00240B0C" w:rsidRPr="00ED5AD0" w:rsidRDefault="00240B0C" w:rsidP="00D9180A">
      <w:pPr>
        <w:ind w:left="851" w:right="283" w:hanging="218"/>
        <w:rPr>
          <w:rFonts w:cs="Arial"/>
          <w:szCs w:val="24"/>
        </w:rPr>
      </w:pPr>
    </w:p>
    <w:p w14:paraId="11758D2D" w14:textId="77777777" w:rsidR="00240B0C" w:rsidRPr="00ED5AD0" w:rsidRDefault="00240B0C" w:rsidP="00D32888">
      <w:pPr>
        <w:numPr>
          <w:ilvl w:val="0"/>
          <w:numId w:val="23"/>
        </w:numPr>
        <w:ind w:left="851" w:right="283" w:hanging="218"/>
        <w:rPr>
          <w:rFonts w:cs="Arial"/>
          <w:szCs w:val="24"/>
        </w:rPr>
      </w:pPr>
      <w:r w:rsidRPr="00ED5AD0">
        <w:rPr>
          <w:rFonts w:cs="Arial"/>
          <w:szCs w:val="24"/>
        </w:rPr>
        <w:t xml:space="preserve">New employees will be employed for a temporary period of less than 12 months. At the end of the temporary contract the post should be filled with an existing permanent employee or frozen.  Extensions of employment for a new employee in any job, beyond 12 months will not be permitted, without the approval of the Chief Executive. </w:t>
      </w:r>
    </w:p>
    <w:p w14:paraId="65B5A0EE" w14:textId="77777777" w:rsidR="00240B0C" w:rsidRPr="00ED5AD0" w:rsidRDefault="00240B0C" w:rsidP="00D9180A">
      <w:pPr>
        <w:ind w:left="851" w:right="283"/>
        <w:rPr>
          <w:rFonts w:cs="Arial"/>
          <w:szCs w:val="24"/>
        </w:rPr>
      </w:pPr>
    </w:p>
    <w:p w14:paraId="03EBC366" w14:textId="77777777" w:rsidR="00D9180A" w:rsidRPr="00ED5AD0" w:rsidRDefault="00D9180A" w:rsidP="00D9180A">
      <w:pPr>
        <w:ind w:left="851" w:right="283"/>
        <w:rPr>
          <w:rFonts w:cs="Arial"/>
          <w:szCs w:val="24"/>
        </w:rPr>
      </w:pPr>
    </w:p>
    <w:p w14:paraId="06B3D9FA" w14:textId="77777777" w:rsidR="00240B0C" w:rsidRPr="00ED5AD0" w:rsidRDefault="00240B0C" w:rsidP="00D9180A">
      <w:pPr>
        <w:pStyle w:val="Heading1"/>
        <w:ind w:left="567" w:right="283"/>
        <w:rPr>
          <w:rFonts w:cs="Arial"/>
          <w:szCs w:val="24"/>
        </w:rPr>
      </w:pPr>
      <w:bookmarkStart w:id="9" w:name="_Toc281480744"/>
      <w:r w:rsidRPr="00ED5AD0">
        <w:rPr>
          <w:rFonts w:cs="Arial"/>
          <w:szCs w:val="24"/>
        </w:rPr>
        <w:t>4.  Identification of Posts ‘at risk’</w:t>
      </w:r>
      <w:bookmarkEnd w:id="9"/>
    </w:p>
    <w:p w14:paraId="3CBE0EF5" w14:textId="77777777" w:rsidR="00D9180A" w:rsidRPr="00ED5AD0" w:rsidRDefault="00D9180A" w:rsidP="00D9180A"/>
    <w:p w14:paraId="62509D40" w14:textId="6457847F" w:rsidR="00240B0C" w:rsidRPr="00ED5AD0" w:rsidRDefault="00240B0C" w:rsidP="00D9180A">
      <w:pPr>
        <w:ind w:left="851" w:right="283"/>
        <w:rPr>
          <w:rFonts w:cs="Arial"/>
          <w:szCs w:val="24"/>
        </w:rPr>
      </w:pPr>
      <w:r w:rsidRPr="00ED5AD0">
        <w:rPr>
          <w:rFonts w:cs="Arial"/>
          <w:szCs w:val="24"/>
        </w:rPr>
        <w:t xml:space="preserve">To facilitate the filling of vacancies by existing employees it is necessary to be clear where there are likely to be reduced services and/or efficiencies which ultimately will mean a reduced number of posts.  </w:t>
      </w:r>
    </w:p>
    <w:p w14:paraId="49AD8EB2" w14:textId="77777777" w:rsidR="00240B0C" w:rsidRPr="00ED5AD0" w:rsidRDefault="00240B0C" w:rsidP="00D9180A">
      <w:pPr>
        <w:ind w:left="851" w:right="283"/>
        <w:rPr>
          <w:rFonts w:cs="Arial"/>
          <w:szCs w:val="24"/>
        </w:rPr>
      </w:pPr>
    </w:p>
    <w:p w14:paraId="22481277" w14:textId="3A3233AF" w:rsidR="00240B0C" w:rsidRPr="00ED5AD0" w:rsidRDefault="00240B0C" w:rsidP="00D9180A">
      <w:pPr>
        <w:ind w:left="851" w:right="283"/>
        <w:rPr>
          <w:rFonts w:cs="Arial"/>
          <w:szCs w:val="24"/>
        </w:rPr>
      </w:pPr>
      <w:r w:rsidRPr="00ED5AD0">
        <w:rPr>
          <w:rFonts w:cs="Arial"/>
          <w:szCs w:val="24"/>
        </w:rPr>
        <w:t xml:space="preserve">Where it has been identified that a reduction in posts is required, this should be detailed by </w:t>
      </w:r>
      <w:r w:rsidR="005103EB" w:rsidRPr="00ED5AD0">
        <w:rPr>
          <w:rFonts w:cs="Arial"/>
          <w:szCs w:val="24"/>
        </w:rPr>
        <w:t>Director</w:t>
      </w:r>
      <w:r w:rsidR="00A91F89" w:rsidRPr="00ED5AD0">
        <w:rPr>
          <w:rFonts w:cs="Arial"/>
          <w:szCs w:val="24"/>
        </w:rPr>
        <w:t>s</w:t>
      </w:r>
      <w:r w:rsidRPr="00ED5AD0">
        <w:rPr>
          <w:rFonts w:cs="Arial"/>
          <w:szCs w:val="24"/>
        </w:rPr>
        <w:t xml:space="preserve"> in terms of the numbers and types of posts.  Essentially this is a potential redundancy situation. However, the aim of this protocol is to avoid redundancies.  Such situations need to be managed with care and avoiding unnecessary concern.</w:t>
      </w:r>
      <w:r w:rsidRPr="00ED5AD0">
        <w:rPr>
          <w:rFonts w:cs="Arial"/>
          <w:color w:val="FF0000"/>
          <w:szCs w:val="24"/>
        </w:rPr>
        <w:t xml:space="preserve"> </w:t>
      </w:r>
    </w:p>
    <w:p w14:paraId="41F923DD" w14:textId="77777777" w:rsidR="00240B0C" w:rsidRPr="00ED5AD0" w:rsidRDefault="00240B0C" w:rsidP="00D9180A">
      <w:pPr>
        <w:ind w:left="851" w:right="283"/>
        <w:rPr>
          <w:rFonts w:cs="Arial"/>
          <w:szCs w:val="24"/>
        </w:rPr>
      </w:pPr>
    </w:p>
    <w:p w14:paraId="0DE1BDD0" w14:textId="77777777" w:rsidR="00240B0C" w:rsidRPr="00ED5AD0" w:rsidRDefault="00240B0C" w:rsidP="00D9180A">
      <w:pPr>
        <w:ind w:left="851" w:right="283"/>
        <w:rPr>
          <w:rFonts w:cs="Arial"/>
          <w:szCs w:val="24"/>
        </w:rPr>
      </w:pPr>
      <w:r w:rsidRPr="00ED5AD0">
        <w:rPr>
          <w:rFonts w:cs="Arial"/>
          <w:szCs w:val="24"/>
        </w:rPr>
        <w:t>Once identified, there will be consultation with the affected employees and Trade Unions on the proposed reductions, allowing the employees affected to propose alternatives, for example reduced hours working, career breaks etc.  Since these proposals will be driven by financial constraints, it is unlikely that suggestions of additional work to be carried out, unless income generating will be suitable solutions.</w:t>
      </w:r>
    </w:p>
    <w:p w14:paraId="283B96F3" w14:textId="77777777" w:rsidR="00FA673E" w:rsidRPr="00ED5AD0" w:rsidRDefault="00FA673E" w:rsidP="00D9180A">
      <w:pPr>
        <w:ind w:left="851" w:right="283"/>
        <w:rPr>
          <w:rFonts w:cs="Arial"/>
          <w:szCs w:val="24"/>
        </w:rPr>
      </w:pPr>
    </w:p>
    <w:p w14:paraId="111ABF92" w14:textId="77777777" w:rsidR="00240B0C" w:rsidRPr="00ED5AD0" w:rsidRDefault="00240B0C" w:rsidP="00D9180A">
      <w:pPr>
        <w:ind w:left="851" w:right="283"/>
        <w:rPr>
          <w:rFonts w:cs="Arial"/>
          <w:szCs w:val="24"/>
        </w:rPr>
      </w:pPr>
      <w:r w:rsidRPr="00ED5AD0">
        <w:rPr>
          <w:rFonts w:cs="Arial"/>
          <w:szCs w:val="24"/>
        </w:rPr>
        <w:t>At the conclusion of the consultation on the changes, the appropriate formal decisions will be made to put the changes into effect.  The impact on the individual employee will be managed using the appropriate policies of the Council.</w:t>
      </w:r>
    </w:p>
    <w:p w14:paraId="4A340EF8" w14:textId="77777777" w:rsidR="00240B0C" w:rsidRPr="00ED5AD0" w:rsidRDefault="00240B0C" w:rsidP="00D9180A">
      <w:pPr>
        <w:ind w:left="851" w:right="283"/>
        <w:rPr>
          <w:rFonts w:cs="Arial"/>
          <w:szCs w:val="24"/>
        </w:rPr>
      </w:pPr>
    </w:p>
    <w:p w14:paraId="4A2F0C25" w14:textId="77777777" w:rsidR="00240B0C" w:rsidRPr="00ED5AD0" w:rsidRDefault="00240B0C" w:rsidP="00D9180A">
      <w:pPr>
        <w:pStyle w:val="Heading1"/>
        <w:ind w:left="851" w:right="283"/>
        <w:rPr>
          <w:rFonts w:cs="Arial"/>
          <w:szCs w:val="24"/>
        </w:rPr>
      </w:pPr>
      <w:bookmarkStart w:id="10" w:name="_Toc281480745"/>
      <w:r w:rsidRPr="00ED5AD0">
        <w:rPr>
          <w:rFonts w:cs="Arial"/>
          <w:szCs w:val="24"/>
        </w:rPr>
        <w:t>4.1   Same or Lower Graded Redeployments</w:t>
      </w:r>
      <w:bookmarkEnd w:id="10"/>
      <w:r w:rsidRPr="00ED5AD0">
        <w:rPr>
          <w:rFonts w:cs="Arial"/>
          <w:szCs w:val="24"/>
        </w:rPr>
        <w:t xml:space="preserve"> </w:t>
      </w:r>
    </w:p>
    <w:p w14:paraId="09F1CF4C" w14:textId="77777777" w:rsidR="00D6098A" w:rsidRPr="00ED5AD0" w:rsidRDefault="00D6098A" w:rsidP="00D9180A">
      <w:pPr>
        <w:ind w:left="851" w:right="283"/>
      </w:pPr>
    </w:p>
    <w:p w14:paraId="1CAA40A6" w14:textId="77777777" w:rsidR="00240B0C" w:rsidRPr="00ED5AD0" w:rsidRDefault="00240B0C" w:rsidP="00CB37B8">
      <w:pPr>
        <w:ind w:left="851" w:right="283"/>
        <w:rPr>
          <w:rFonts w:cs="Arial"/>
          <w:szCs w:val="24"/>
        </w:rPr>
      </w:pPr>
      <w:r w:rsidRPr="00ED5AD0">
        <w:rPr>
          <w:rFonts w:cs="Arial"/>
          <w:szCs w:val="24"/>
        </w:rPr>
        <w:t>The people occupying posts that have been identified as at risk will be placed into posts which might be suitable to their skills and knowledge.  Where possible, alternative redeployments may be offered.  These posts will not be advertised across the organisation.  These posts may not be within the professional area of the affected post-holders, but it will be considered that their existing skills and knowledge can be applied to these posts.  The posts offered may be on a lower grade than the post-holders currently occupy.  The Council’s protection policy will apply.</w:t>
      </w:r>
    </w:p>
    <w:p w14:paraId="4A7ECFF5" w14:textId="77777777" w:rsidR="00240B0C" w:rsidRPr="00ED5AD0" w:rsidRDefault="00240B0C" w:rsidP="00CB37B8">
      <w:pPr>
        <w:ind w:left="851" w:right="283"/>
        <w:rPr>
          <w:rFonts w:cs="Arial"/>
          <w:szCs w:val="24"/>
        </w:rPr>
      </w:pPr>
    </w:p>
    <w:p w14:paraId="7DFCD7EC" w14:textId="77777777" w:rsidR="00240B0C" w:rsidRPr="00ED5AD0" w:rsidRDefault="00240B0C" w:rsidP="00CB37B8">
      <w:pPr>
        <w:ind w:left="851" w:right="283"/>
        <w:rPr>
          <w:rFonts w:cs="Arial"/>
          <w:szCs w:val="24"/>
        </w:rPr>
      </w:pPr>
      <w:r w:rsidRPr="00ED5AD0">
        <w:rPr>
          <w:rFonts w:cs="Arial"/>
          <w:szCs w:val="24"/>
        </w:rPr>
        <w:t xml:space="preserve">Where there are a number of people identified in an </w:t>
      </w:r>
      <w:proofErr w:type="gramStart"/>
      <w:r w:rsidRPr="00ED5AD0">
        <w:rPr>
          <w:rFonts w:cs="Arial"/>
          <w:szCs w:val="24"/>
        </w:rPr>
        <w:t>at risk</w:t>
      </w:r>
      <w:proofErr w:type="gramEnd"/>
      <w:r w:rsidRPr="00ED5AD0">
        <w:rPr>
          <w:rFonts w:cs="Arial"/>
          <w:szCs w:val="24"/>
        </w:rPr>
        <w:t xml:space="preserve"> group, all will be expected to give serious consideration to undertaking the redeployment.  If the available post cannot be filled through voluntary application, then an assessment process will be undertaken to identify the most suitable person.  (This is likely to be </w:t>
      </w:r>
      <w:proofErr w:type="gramStart"/>
      <w:r w:rsidRPr="00ED5AD0">
        <w:rPr>
          <w:rFonts w:cs="Arial"/>
          <w:szCs w:val="24"/>
        </w:rPr>
        <w:t>similar to</w:t>
      </w:r>
      <w:proofErr w:type="gramEnd"/>
      <w:r w:rsidRPr="00ED5AD0">
        <w:rPr>
          <w:rFonts w:cs="Arial"/>
          <w:szCs w:val="24"/>
        </w:rPr>
        <w:t xml:space="preserve"> the approved protocol for selection into posts following structural review).</w:t>
      </w:r>
    </w:p>
    <w:p w14:paraId="67F4647B" w14:textId="77777777" w:rsidR="00240B0C" w:rsidRPr="00ED5AD0" w:rsidRDefault="00240B0C" w:rsidP="00CB37B8">
      <w:pPr>
        <w:ind w:left="851" w:right="283"/>
        <w:rPr>
          <w:rFonts w:cs="Arial"/>
          <w:szCs w:val="24"/>
        </w:rPr>
      </w:pPr>
    </w:p>
    <w:p w14:paraId="25BFA451" w14:textId="77777777" w:rsidR="00240B0C" w:rsidRPr="00ED5AD0" w:rsidRDefault="00240B0C" w:rsidP="00CB37B8">
      <w:pPr>
        <w:ind w:left="851" w:right="283"/>
        <w:rPr>
          <w:rFonts w:cs="Arial"/>
          <w:szCs w:val="24"/>
        </w:rPr>
      </w:pPr>
      <w:r w:rsidRPr="00ED5AD0">
        <w:rPr>
          <w:rFonts w:cs="Arial"/>
          <w:szCs w:val="24"/>
        </w:rPr>
        <w:t xml:space="preserve">If for any reason it is not appropriate to assess employees ‘at risk’ for redeployment, then a selection for redundancy exercise will be undertaken using criteria determined in consultation with the Trade Unions, and the Council’s redundancy and redeployment policy will be followed.  This will lead to identification of redeployment opportunities and employees are required within the context of national employment law, to consider all reasonable offers of redeployment. </w:t>
      </w:r>
    </w:p>
    <w:p w14:paraId="440F84E7" w14:textId="77777777" w:rsidR="00240B0C" w:rsidRPr="00ED5AD0" w:rsidRDefault="00240B0C" w:rsidP="00D9180A">
      <w:pPr>
        <w:ind w:left="851" w:right="283"/>
        <w:rPr>
          <w:rFonts w:cs="Arial"/>
          <w:szCs w:val="24"/>
        </w:rPr>
      </w:pPr>
    </w:p>
    <w:p w14:paraId="226A64B7" w14:textId="77777777" w:rsidR="00240B0C" w:rsidRPr="00ED5AD0" w:rsidRDefault="00240B0C" w:rsidP="00D9180A">
      <w:pPr>
        <w:ind w:left="851" w:right="283"/>
        <w:rPr>
          <w:rFonts w:cs="Arial"/>
          <w:b/>
          <w:szCs w:val="24"/>
        </w:rPr>
      </w:pPr>
      <w:r w:rsidRPr="00ED5AD0">
        <w:rPr>
          <w:rFonts w:cs="Arial"/>
          <w:b/>
          <w:szCs w:val="24"/>
        </w:rPr>
        <w:t>5.   Secondments</w:t>
      </w:r>
    </w:p>
    <w:p w14:paraId="66A68F4E" w14:textId="77777777" w:rsidR="00240B0C" w:rsidRPr="00ED5AD0" w:rsidRDefault="00240B0C" w:rsidP="00D9180A">
      <w:pPr>
        <w:ind w:left="851" w:right="283"/>
        <w:rPr>
          <w:rFonts w:cs="Arial"/>
          <w:szCs w:val="24"/>
          <w:u w:val="single"/>
        </w:rPr>
      </w:pPr>
    </w:p>
    <w:p w14:paraId="1ED48079" w14:textId="77777777" w:rsidR="00240B0C" w:rsidRPr="00ED5AD0" w:rsidRDefault="00240B0C" w:rsidP="00CB37B8">
      <w:pPr>
        <w:ind w:left="851" w:right="283"/>
        <w:rPr>
          <w:rFonts w:cs="Arial"/>
          <w:szCs w:val="24"/>
        </w:rPr>
      </w:pPr>
      <w:r w:rsidRPr="00ED5AD0">
        <w:rPr>
          <w:rFonts w:cs="Arial"/>
          <w:szCs w:val="24"/>
        </w:rPr>
        <w:t xml:space="preserve">In some </w:t>
      </w:r>
      <w:proofErr w:type="gramStart"/>
      <w:r w:rsidRPr="00ED5AD0">
        <w:rPr>
          <w:rFonts w:cs="Arial"/>
          <w:szCs w:val="24"/>
        </w:rPr>
        <w:t>situations</w:t>
      </w:r>
      <w:proofErr w:type="gramEnd"/>
      <w:r w:rsidRPr="00ED5AD0">
        <w:rPr>
          <w:rFonts w:cs="Arial"/>
          <w:szCs w:val="24"/>
        </w:rPr>
        <w:t xml:space="preserve"> the full definition of a redundancy situation may not apply – as described above.  An opportunity may present itself within a team for a </w:t>
      </w:r>
      <w:proofErr w:type="gramStart"/>
      <w:r w:rsidRPr="00ED5AD0">
        <w:rPr>
          <w:rFonts w:cs="Arial"/>
          <w:szCs w:val="24"/>
        </w:rPr>
        <w:t>short term</w:t>
      </w:r>
      <w:proofErr w:type="gramEnd"/>
      <w:r w:rsidRPr="00ED5AD0">
        <w:rPr>
          <w:rFonts w:cs="Arial"/>
          <w:szCs w:val="24"/>
        </w:rPr>
        <w:t xml:space="preserve"> reduction in staffing requirements and therefore a requirement to place employees into temporary arrangements.  Equally there may be vacancies within the organisation that are critical to </w:t>
      </w:r>
      <w:proofErr w:type="gramStart"/>
      <w:r w:rsidRPr="00ED5AD0">
        <w:rPr>
          <w:rFonts w:cs="Arial"/>
          <w:szCs w:val="24"/>
        </w:rPr>
        <w:t>fill</w:t>
      </w:r>
      <w:proofErr w:type="gramEnd"/>
      <w:r w:rsidRPr="00ED5AD0">
        <w:rPr>
          <w:rFonts w:cs="Arial"/>
          <w:szCs w:val="24"/>
        </w:rPr>
        <w:t xml:space="preserve"> and it is desirable that this is done internally, but not necessarily on a permanent basis.</w:t>
      </w:r>
    </w:p>
    <w:p w14:paraId="59517354" w14:textId="77777777" w:rsidR="00240B0C" w:rsidRPr="00ED5AD0" w:rsidRDefault="00240B0C" w:rsidP="00CB37B8">
      <w:pPr>
        <w:ind w:left="851" w:right="283"/>
        <w:rPr>
          <w:rFonts w:cs="Arial"/>
          <w:szCs w:val="24"/>
        </w:rPr>
      </w:pPr>
    </w:p>
    <w:p w14:paraId="24C24166" w14:textId="77777777" w:rsidR="00240B0C" w:rsidRPr="00ED5AD0" w:rsidRDefault="00240B0C" w:rsidP="00CB37B8">
      <w:pPr>
        <w:ind w:left="851" w:right="283"/>
        <w:rPr>
          <w:rFonts w:cs="Arial"/>
          <w:szCs w:val="24"/>
        </w:rPr>
      </w:pPr>
      <w:r w:rsidRPr="00ED5AD0">
        <w:rPr>
          <w:rFonts w:cs="Arial"/>
          <w:szCs w:val="24"/>
        </w:rPr>
        <w:t>It is also possible that vacant posts could be filled internally on a temporary basis by employees moving from lower priority service areas giving rise to savings.  Such situations will be dealt with by a secondment arrangement.</w:t>
      </w:r>
    </w:p>
    <w:p w14:paraId="4B539E67" w14:textId="77777777" w:rsidR="00240B0C" w:rsidRPr="00ED5AD0" w:rsidRDefault="00240B0C" w:rsidP="00CB37B8">
      <w:pPr>
        <w:ind w:left="851" w:right="283"/>
        <w:rPr>
          <w:rFonts w:cs="Arial"/>
          <w:szCs w:val="24"/>
        </w:rPr>
      </w:pPr>
    </w:p>
    <w:p w14:paraId="61F09FAC" w14:textId="77777777" w:rsidR="00240B0C" w:rsidRPr="00ED5AD0" w:rsidRDefault="00240B0C" w:rsidP="00CB37B8">
      <w:pPr>
        <w:ind w:left="851" w:right="283"/>
        <w:rPr>
          <w:rFonts w:cs="Arial"/>
          <w:szCs w:val="24"/>
        </w:rPr>
      </w:pPr>
      <w:r w:rsidRPr="00ED5AD0">
        <w:rPr>
          <w:rFonts w:cs="Arial"/>
          <w:szCs w:val="24"/>
        </w:rPr>
        <w:t>Secondments agreed in this way will only be temporary arrangements, the employee who undertakes the secondment post will be entitled to return to their substantive post either at the end of a fixed term arrangement or when the need for the post becomes sustainable again, or another post becomes vacant for which they wish to be considered for redeployment.</w:t>
      </w:r>
    </w:p>
    <w:p w14:paraId="283ED075" w14:textId="77777777" w:rsidR="00863073" w:rsidRPr="00ED5AD0" w:rsidRDefault="00863073" w:rsidP="00CB37B8">
      <w:pPr>
        <w:ind w:left="851" w:right="283"/>
        <w:rPr>
          <w:rFonts w:cs="Arial"/>
          <w:szCs w:val="24"/>
        </w:rPr>
      </w:pPr>
    </w:p>
    <w:p w14:paraId="6039D86F" w14:textId="5B535DB5" w:rsidR="00240B0C" w:rsidRPr="00ED5AD0" w:rsidRDefault="00240B0C" w:rsidP="00CB37B8">
      <w:pPr>
        <w:ind w:left="851" w:right="283"/>
        <w:rPr>
          <w:rFonts w:cs="Arial"/>
          <w:szCs w:val="24"/>
        </w:rPr>
      </w:pPr>
      <w:r w:rsidRPr="00ED5AD0">
        <w:rPr>
          <w:rFonts w:cs="Arial"/>
          <w:szCs w:val="24"/>
        </w:rPr>
        <w:t>If during the period of secondment, the individual’s substantive post is identified for deletion, the individual will be treated as a redeployee, and the protocol described in Section 4 above will apply.</w:t>
      </w:r>
    </w:p>
    <w:p w14:paraId="26310DB7" w14:textId="77777777" w:rsidR="00240B0C" w:rsidRPr="00ED5AD0" w:rsidRDefault="00240B0C" w:rsidP="00CB37B8">
      <w:pPr>
        <w:ind w:left="851" w:right="283"/>
        <w:rPr>
          <w:rFonts w:cs="Arial"/>
          <w:szCs w:val="24"/>
        </w:rPr>
      </w:pPr>
    </w:p>
    <w:p w14:paraId="42E7F4D4" w14:textId="77777777" w:rsidR="00240B0C" w:rsidRPr="00ED5AD0" w:rsidRDefault="00240B0C" w:rsidP="00CB37B8">
      <w:pPr>
        <w:ind w:left="851" w:right="283"/>
        <w:rPr>
          <w:rFonts w:cs="Arial"/>
          <w:szCs w:val="24"/>
        </w:rPr>
      </w:pPr>
      <w:r w:rsidRPr="00ED5AD0">
        <w:rPr>
          <w:rFonts w:cs="Arial"/>
          <w:szCs w:val="24"/>
        </w:rPr>
        <w:t>Before a post is released for secondment/redeployment, there will be a review of the requirements of the post, to enable successful appointment from employees who might otherwise have not met the minimum criteria.  This may lead to a review of the post grade to ensure that the substantive grade of the post fully reflects the duties being carried out.  If this situation arises, the grading of the post will be reviewed through the job evaluation scheme in consultation with the Trade Unions.</w:t>
      </w:r>
    </w:p>
    <w:p w14:paraId="57A85091" w14:textId="77777777" w:rsidR="00240B0C" w:rsidRPr="00ED5AD0" w:rsidRDefault="00240B0C" w:rsidP="00CB37B8">
      <w:pPr>
        <w:ind w:left="851" w:right="283"/>
        <w:rPr>
          <w:rFonts w:cs="Arial"/>
          <w:szCs w:val="24"/>
        </w:rPr>
      </w:pPr>
    </w:p>
    <w:p w14:paraId="6F27A590" w14:textId="77777777" w:rsidR="00240B0C" w:rsidRPr="00ED5AD0" w:rsidRDefault="00240B0C" w:rsidP="00CB37B8">
      <w:pPr>
        <w:ind w:left="851" w:right="283"/>
        <w:rPr>
          <w:rFonts w:cs="Arial"/>
          <w:szCs w:val="24"/>
        </w:rPr>
      </w:pPr>
      <w:r w:rsidRPr="00ED5AD0">
        <w:rPr>
          <w:rFonts w:cs="Arial"/>
          <w:szCs w:val="24"/>
        </w:rPr>
        <w:t>The protocol in such situations is as follows:</w:t>
      </w:r>
    </w:p>
    <w:p w14:paraId="5F076BD0" w14:textId="77777777" w:rsidR="00240B0C" w:rsidRPr="00ED5AD0" w:rsidRDefault="00240B0C" w:rsidP="00D9180A">
      <w:pPr>
        <w:ind w:left="851" w:right="283"/>
        <w:rPr>
          <w:rFonts w:cs="Arial"/>
          <w:szCs w:val="24"/>
        </w:rPr>
      </w:pPr>
    </w:p>
    <w:p w14:paraId="3ABFF6FC" w14:textId="77777777" w:rsidR="00240B0C" w:rsidRPr="00ED5AD0" w:rsidRDefault="00240B0C" w:rsidP="00D9180A">
      <w:pPr>
        <w:pStyle w:val="Heading1"/>
        <w:ind w:left="851" w:right="283"/>
        <w:rPr>
          <w:rFonts w:cs="Arial"/>
          <w:szCs w:val="24"/>
        </w:rPr>
      </w:pPr>
      <w:bookmarkStart w:id="11" w:name="_Toc281480746"/>
      <w:proofErr w:type="gramStart"/>
      <w:r w:rsidRPr="00ED5AD0">
        <w:rPr>
          <w:rFonts w:cs="Arial"/>
          <w:szCs w:val="24"/>
        </w:rPr>
        <w:lastRenderedPageBreak/>
        <w:t>5.1  Same</w:t>
      </w:r>
      <w:proofErr w:type="gramEnd"/>
      <w:r w:rsidRPr="00ED5AD0">
        <w:rPr>
          <w:rFonts w:cs="Arial"/>
          <w:szCs w:val="24"/>
        </w:rPr>
        <w:t xml:space="preserve"> or lower Grade Secondments Identified</w:t>
      </w:r>
      <w:bookmarkEnd w:id="11"/>
    </w:p>
    <w:p w14:paraId="7172F504" w14:textId="77777777" w:rsidR="00240B0C" w:rsidRPr="00ED5AD0" w:rsidRDefault="00240B0C" w:rsidP="00D9180A">
      <w:pPr>
        <w:ind w:left="851" w:right="283"/>
        <w:rPr>
          <w:rFonts w:cs="Arial"/>
          <w:szCs w:val="24"/>
        </w:rPr>
      </w:pPr>
    </w:p>
    <w:p w14:paraId="622E81A1" w14:textId="77777777" w:rsidR="00240B0C" w:rsidRPr="00ED5AD0" w:rsidRDefault="00240B0C" w:rsidP="00CB37B8">
      <w:pPr>
        <w:ind w:left="851" w:right="283"/>
        <w:rPr>
          <w:rFonts w:cs="Arial"/>
          <w:szCs w:val="24"/>
        </w:rPr>
      </w:pPr>
      <w:r w:rsidRPr="00ED5AD0">
        <w:rPr>
          <w:rFonts w:cs="Arial"/>
          <w:szCs w:val="24"/>
        </w:rPr>
        <w:t>The protocol for placing people into same or lower graded secondments will be as above for posts at risk.</w:t>
      </w:r>
    </w:p>
    <w:p w14:paraId="2D2FDBF9" w14:textId="77777777" w:rsidR="00240B0C" w:rsidRPr="00ED5AD0" w:rsidRDefault="00240B0C" w:rsidP="00D9180A">
      <w:pPr>
        <w:ind w:left="851" w:right="283"/>
        <w:rPr>
          <w:rFonts w:cs="Arial"/>
          <w:szCs w:val="24"/>
        </w:rPr>
      </w:pPr>
    </w:p>
    <w:p w14:paraId="2016BB2C" w14:textId="77777777" w:rsidR="00240B0C" w:rsidRPr="00ED5AD0" w:rsidRDefault="00240B0C" w:rsidP="00D9180A">
      <w:pPr>
        <w:ind w:left="851" w:right="283"/>
        <w:rPr>
          <w:rFonts w:cs="Arial"/>
          <w:b/>
          <w:szCs w:val="24"/>
        </w:rPr>
      </w:pPr>
      <w:r w:rsidRPr="00ED5AD0">
        <w:rPr>
          <w:rFonts w:cs="Arial"/>
          <w:b/>
          <w:szCs w:val="24"/>
        </w:rPr>
        <w:t>6.  Higher Graded Secondment or Redeployment Identified</w:t>
      </w:r>
    </w:p>
    <w:p w14:paraId="2317470D" w14:textId="77777777" w:rsidR="00240B0C" w:rsidRPr="00ED5AD0" w:rsidRDefault="00240B0C" w:rsidP="00D9180A">
      <w:pPr>
        <w:ind w:left="851" w:right="283"/>
        <w:rPr>
          <w:rFonts w:cs="Arial"/>
          <w:szCs w:val="24"/>
          <w:u w:val="single"/>
        </w:rPr>
      </w:pPr>
    </w:p>
    <w:p w14:paraId="4F0D7CD0" w14:textId="77777777" w:rsidR="00240B0C" w:rsidRPr="00ED5AD0" w:rsidRDefault="00240B0C" w:rsidP="00CB37B8">
      <w:pPr>
        <w:ind w:left="851" w:right="283"/>
        <w:rPr>
          <w:rFonts w:cs="Arial"/>
          <w:szCs w:val="24"/>
        </w:rPr>
      </w:pPr>
      <w:r w:rsidRPr="00ED5AD0">
        <w:rPr>
          <w:rFonts w:cs="Arial"/>
          <w:szCs w:val="24"/>
        </w:rPr>
        <w:t xml:space="preserve">Where a secondment or redeployment post is identified at a higher grade than people requiring redeployment then there will be an internal advertisement for the post.  This will enable all employees to be considered for this post – and may result in the person(s) at risk not being successful.  </w:t>
      </w:r>
      <w:proofErr w:type="gramStart"/>
      <w:r w:rsidRPr="00ED5AD0">
        <w:rPr>
          <w:rFonts w:cs="Arial"/>
          <w:szCs w:val="24"/>
        </w:rPr>
        <w:t>However</w:t>
      </w:r>
      <w:proofErr w:type="gramEnd"/>
      <w:r w:rsidRPr="00ED5AD0">
        <w:rPr>
          <w:rFonts w:cs="Arial"/>
          <w:szCs w:val="24"/>
        </w:rPr>
        <w:t xml:space="preserve"> it will release another post within the organisation that may then be available for the secondee/redeployee.</w:t>
      </w:r>
    </w:p>
    <w:p w14:paraId="537A0F27" w14:textId="77777777" w:rsidR="00240B0C" w:rsidRPr="00ED5AD0" w:rsidRDefault="00240B0C" w:rsidP="00CB37B8">
      <w:pPr>
        <w:ind w:left="851" w:right="283"/>
        <w:rPr>
          <w:rFonts w:cs="Arial"/>
          <w:szCs w:val="24"/>
        </w:rPr>
      </w:pPr>
    </w:p>
    <w:p w14:paraId="0CA431F9" w14:textId="77777777" w:rsidR="00240B0C" w:rsidRPr="00ED5AD0" w:rsidRDefault="00240B0C" w:rsidP="00CB37B8">
      <w:pPr>
        <w:ind w:left="851" w:right="283"/>
        <w:rPr>
          <w:rFonts w:cs="Arial"/>
          <w:szCs w:val="24"/>
        </w:rPr>
      </w:pPr>
      <w:r w:rsidRPr="00ED5AD0">
        <w:rPr>
          <w:rFonts w:cs="Arial"/>
          <w:szCs w:val="24"/>
        </w:rPr>
        <w:t xml:space="preserve">If the higher graded post is within the contained professional area where there is an identified </w:t>
      </w:r>
      <w:proofErr w:type="gramStart"/>
      <w:r w:rsidRPr="00ED5AD0">
        <w:rPr>
          <w:rFonts w:cs="Arial"/>
          <w:szCs w:val="24"/>
        </w:rPr>
        <w:t>reduction</w:t>
      </w:r>
      <w:proofErr w:type="gramEnd"/>
      <w:r w:rsidRPr="00ED5AD0">
        <w:rPr>
          <w:rFonts w:cs="Arial"/>
          <w:szCs w:val="24"/>
        </w:rPr>
        <w:t xml:space="preserve"> then the applicants can be restricted to the group of employees ‘at risk’.  Appointment to the post will be on merit.</w:t>
      </w:r>
    </w:p>
    <w:p w14:paraId="7772B550" w14:textId="77777777" w:rsidR="00863073" w:rsidRPr="00ED5AD0" w:rsidRDefault="00863073" w:rsidP="00CB37B8">
      <w:pPr>
        <w:ind w:left="851" w:right="283"/>
        <w:rPr>
          <w:rFonts w:cs="Arial"/>
          <w:szCs w:val="24"/>
        </w:rPr>
      </w:pPr>
    </w:p>
    <w:p w14:paraId="1E1BA488" w14:textId="28AC5CD9" w:rsidR="00240B0C" w:rsidRPr="00ED5AD0" w:rsidRDefault="00240B0C" w:rsidP="00CB37B8">
      <w:pPr>
        <w:ind w:left="851" w:right="283"/>
        <w:rPr>
          <w:rFonts w:cs="Arial"/>
          <w:szCs w:val="24"/>
        </w:rPr>
      </w:pPr>
      <w:r w:rsidRPr="00ED5AD0">
        <w:rPr>
          <w:rFonts w:cs="Arial"/>
          <w:szCs w:val="24"/>
        </w:rPr>
        <w:t>Redeployment at a higher grade may be a temporary or permanent arrangement depending on the circumstances.  If the arrangement is temporary, at the end the individual is placed back into being ‘at risk’ and this protocol will continue to apply.</w:t>
      </w:r>
    </w:p>
    <w:p w14:paraId="2583B7B8" w14:textId="77777777" w:rsidR="00240B0C" w:rsidRPr="00ED5AD0" w:rsidRDefault="00240B0C" w:rsidP="00CB37B8">
      <w:pPr>
        <w:ind w:left="851" w:right="283"/>
        <w:rPr>
          <w:rFonts w:cs="Arial"/>
          <w:szCs w:val="24"/>
        </w:rPr>
      </w:pPr>
      <w:r w:rsidRPr="00ED5AD0">
        <w:rPr>
          <w:rFonts w:cs="Arial"/>
          <w:szCs w:val="24"/>
        </w:rPr>
        <w:t xml:space="preserve"> </w:t>
      </w:r>
    </w:p>
    <w:p w14:paraId="492BDE2B" w14:textId="77777777" w:rsidR="00240B0C" w:rsidRPr="00ED5AD0" w:rsidRDefault="00240B0C" w:rsidP="00CB37B8">
      <w:pPr>
        <w:ind w:left="851" w:right="283"/>
        <w:rPr>
          <w:rFonts w:cs="Arial"/>
          <w:szCs w:val="24"/>
        </w:rPr>
      </w:pPr>
      <w:r w:rsidRPr="00ED5AD0">
        <w:rPr>
          <w:rFonts w:cs="Arial"/>
          <w:szCs w:val="24"/>
        </w:rPr>
        <w:t xml:space="preserve">If no suitable secondee/redeployee is identified, then the process for vacancy management Section 3 above will be followed. </w:t>
      </w:r>
    </w:p>
    <w:p w14:paraId="32F6E6AC" w14:textId="77777777" w:rsidR="00240B0C" w:rsidRPr="00ED5AD0" w:rsidRDefault="00240B0C" w:rsidP="00D9180A">
      <w:pPr>
        <w:ind w:left="851" w:right="283"/>
        <w:rPr>
          <w:rFonts w:cs="Arial"/>
          <w:szCs w:val="24"/>
        </w:rPr>
      </w:pPr>
    </w:p>
    <w:p w14:paraId="44FC2029" w14:textId="77777777" w:rsidR="00240B0C" w:rsidRPr="00ED5AD0" w:rsidRDefault="00240B0C" w:rsidP="00D9180A">
      <w:pPr>
        <w:pStyle w:val="Heading1"/>
        <w:ind w:left="851" w:right="283"/>
        <w:rPr>
          <w:rFonts w:cs="Arial"/>
          <w:szCs w:val="24"/>
        </w:rPr>
      </w:pPr>
      <w:bookmarkStart w:id="12" w:name="_Toc281480747"/>
      <w:r w:rsidRPr="00ED5AD0">
        <w:rPr>
          <w:rFonts w:cs="Arial"/>
          <w:szCs w:val="24"/>
        </w:rPr>
        <w:t>7.  Equality and Diversity Implications</w:t>
      </w:r>
      <w:bookmarkEnd w:id="12"/>
    </w:p>
    <w:p w14:paraId="176AB045" w14:textId="77777777" w:rsidR="00240B0C" w:rsidRPr="00ED5AD0" w:rsidRDefault="00240B0C" w:rsidP="00D9180A">
      <w:pPr>
        <w:ind w:left="851" w:right="283"/>
        <w:rPr>
          <w:rFonts w:cs="Arial"/>
          <w:szCs w:val="24"/>
          <w:u w:val="single"/>
        </w:rPr>
      </w:pPr>
    </w:p>
    <w:p w14:paraId="72F905B4" w14:textId="76977E63" w:rsidR="00240B0C" w:rsidRPr="00ED5AD0" w:rsidRDefault="00240B0C" w:rsidP="00CB37B8">
      <w:pPr>
        <w:ind w:left="851" w:right="283"/>
        <w:rPr>
          <w:rFonts w:cs="Arial"/>
          <w:szCs w:val="24"/>
        </w:rPr>
      </w:pPr>
      <w:r w:rsidRPr="00ED5AD0">
        <w:rPr>
          <w:rFonts w:cs="Arial"/>
          <w:szCs w:val="24"/>
        </w:rPr>
        <w:t xml:space="preserve">Using this protocol for dealing with the </w:t>
      </w:r>
      <w:r w:rsidR="00863073" w:rsidRPr="00ED5AD0">
        <w:rPr>
          <w:rFonts w:cs="Arial"/>
          <w:szCs w:val="24"/>
        </w:rPr>
        <w:t>medium-term</w:t>
      </w:r>
      <w:r w:rsidRPr="00ED5AD0">
        <w:rPr>
          <w:rFonts w:cs="Arial"/>
          <w:szCs w:val="24"/>
        </w:rPr>
        <w:t xml:space="preserve"> difficulties can bring potential for conflict with the Council’s commitment to equality and diversity.  In terms of recruitment and employment, the Council has previously advertised all jobs either externally or internally for all employees.  This protocol is a departure from this.  In terms of the workforce profile, it will not help in ensuring that the employees of the Council are representative of the population.  Currently our minority ethnic make-up is below that of the area, and by retaining recruitment internally, there are limited opportunities to address this.</w:t>
      </w:r>
    </w:p>
    <w:p w14:paraId="565CC4E6" w14:textId="77777777" w:rsidR="00240B0C" w:rsidRPr="00ED5AD0" w:rsidRDefault="00240B0C" w:rsidP="00CB37B8">
      <w:pPr>
        <w:ind w:left="851" w:right="283"/>
        <w:rPr>
          <w:rFonts w:cs="Arial"/>
          <w:szCs w:val="24"/>
        </w:rPr>
      </w:pPr>
    </w:p>
    <w:p w14:paraId="3FFA84CB" w14:textId="77777777" w:rsidR="00240B0C" w:rsidRPr="00ED5AD0" w:rsidRDefault="00240B0C" w:rsidP="00CB37B8">
      <w:pPr>
        <w:ind w:left="851" w:right="283"/>
        <w:rPr>
          <w:rFonts w:cs="Arial"/>
          <w:szCs w:val="24"/>
        </w:rPr>
      </w:pPr>
      <w:r w:rsidRPr="00ED5AD0">
        <w:rPr>
          <w:rFonts w:cs="Arial"/>
          <w:szCs w:val="24"/>
        </w:rPr>
        <w:t>However, for maintaining the morale and commitment of existing employees to achieve high performance in difficult times, it is necessary to balance these conflicting demands.  Appointment to any vacancies, particularly where there is an increase in grade will be on merit, and if no internal candidates can meet the criteria, appointments will not be made.  All employees within a group ‘at risk’ or faced with other change will be treated fairly and given equal chance for any secondments or redeployments.</w:t>
      </w:r>
    </w:p>
    <w:p w14:paraId="6F471B23" w14:textId="15E9126A" w:rsidR="00C30664" w:rsidRPr="00ED5AD0" w:rsidRDefault="00C30664">
      <w:pPr>
        <w:rPr>
          <w:rFonts w:cs="Arial"/>
          <w:b/>
          <w:szCs w:val="24"/>
        </w:rPr>
      </w:pPr>
      <w:r w:rsidRPr="00ED5AD0">
        <w:rPr>
          <w:rFonts w:cs="Arial"/>
          <w:b/>
          <w:szCs w:val="24"/>
        </w:rPr>
        <w:br w:type="page"/>
      </w:r>
    </w:p>
    <w:p w14:paraId="29743A5C" w14:textId="77777777" w:rsidR="00C30664" w:rsidRPr="00ED5AD0" w:rsidRDefault="00C30664" w:rsidP="00D9180A">
      <w:pPr>
        <w:ind w:left="851" w:right="283"/>
        <w:rPr>
          <w:rFonts w:cs="Arial"/>
          <w:b/>
          <w:szCs w:val="24"/>
        </w:rPr>
      </w:pPr>
    </w:p>
    <w:p w14:paraId="62253CF3" w14:textId="787D0574" w:rsidR="00240B0C" w:rsidRPr="00ED5AD0" w:rsidRDefault="00240B0C" w:rsidP="00D9180A">
      <w:pPr>
        <w:ind w:left="851" w:right="283"/>
        <w:rPr>
          <w:rFonts w:cs="Arial"/>
          <w:b/>
          <w:szCs w:val="24"/>
        </w:rPr>
      </w:pPr>
      <w:r w:rsidRPr="00ED5AD0">
        <w:rPr>
          <w:rFonts w:cs="Arial"/>
          <w:b/>
          <w:szCs w:val="24"/>
        </w:rPr>
        <w:t>8.   Training and Development</w:t>
      </w:r>
    </w:p>
    <w:p w14:paraId="49A01E34" w14:textId="77777777" w:rsidR="00240B0C" w:rsidRPr="00ED5AD0" w:rsidRDefault="00240B0C" w:rsidP="00D9180A">
      <w:pPr>
        <w:ind w:left="851" w:right="283"/>
        <w:rPr>
          <w:rFonts w:cs="Arial"/>
          <w:szCs w:val="24"/>
          <w:u w:val="single"/>
        </w:rPr>
      </w:pPr>
    </w:p>
    <w:p w14:paraId="1EB38842" w14:textId="6AEFAAB2" w:rsidR="00240B0C" w:rsidRPr="00ED5AD0" w:rsidRDefault="00240B0C" w:rsidP="00CB37B8">
      <w:pPr>
        <w:ind w:left="851" w:right="283"/>
        <w:rPr>
          <w:rFonts w:cs="Arial"/>
          <w:szCs w:val="24"/>
        </w:rPr>
      </w:pPr>
      <w:r w:rsidRPr="00ED5AD0">
        <w:rPr>
          <w:rFonts w:cs="Arial"/>
          <w:szCs w:val="24"/>
        </w:rPr>
        <w:t xml:space="preserve">Using this protocol should offer protection to existing </w:t>
      </w:r>
      <w:proofErr w:type="gramStart"/>
      <w:r w:rsidRPr="00ED5AD0">
        <w:rPr>
          <w:rFonts w:cs="Arial"/>
          <w:szCs w:val="24"/>
        </w:rPr>
        <w:t>employees, and</w:t>
      </w:r>
      <w:proofErr w:type="gramEnd"/>
      <w:r w:rsidRPr="00ED5AD0">
        <w:rPr>
          <w:rFonts w:cs="Arial"/>
          <w:szCs w:val="24"/>
        </w:rPr>
        <w:t xml:space="preserve"> will retain within the organisation valuable skills and expertise.  However</w:t>
      </w:r>
      <w:r w:rsidR="00C30664" w:rsidRPr="00ED5AD0">
        <w:rPr>
          <w:rFonts w:cs="Arial"/>
          <w:szCs w:val="24"/>
        </w:rPr>
        <w:t>,</w:t>
      </w:r>
      <w:r w:rsidRPr="00ED5AD0">
        <w:rPr>
          <w:rFonts w:cs="Arial"/>
          <w:szCs w:val="24"/>
        </w:rPr>
        <w:t xml:space="preserve"> it </w:t>
      </w:r>
      <w:proofErr w:type="gramStart"/>
      <w:r w:rsidRPr="00ED5AD0">
        <w:rPr>
          <w:rFonts w:cs="Arial"/>
          <w:szCs w:val="24"/>
        </w:rPr>
        <w:t>has to</w:t>
      </w:r>
      <w:proofErr w:type="gramEnd"/>
      <w:r w:rsidRPr="00ED5AD0">
        <w:rPr>
          <w:rFonts w:cs="Arial"/>
          <w:szCs w:val="24"/>
        </w:rPr>
        <w:t xml:space="preserve"> be recognised that whether there is a secondment or a redeployment arrangement it is possible that posts might be filled by employees without relevant training or knowledge. </w:t>
      </w:r>
    </w:p>
    <w:p w14:paraId="687F1DDF" w14:textId="77777777" w:rsidR="00240B0C" w:rsidRPr="00ED5AD0" w:rsidRDefault="00240B0C" w:rsidP="00CB37B8">
      <w:pPr>
        <w:ind w:left="851" w:right="283"/>
        <w:rPr>
          <w:rFonts w:cs="Arial"/>
          <w:szCs w:val="24"/>
        </w:rPr>
      </w:pPr>
    </w:p>
    <w:p w14:paraId="6FA9E24E" w14:textId="77777777" w:rsidR="00240B0C" w:rsidRPr="00ED5AD0" w:rsidRDefault="00240B0C" w:rsidP="00CB37B8">
      <w:pPr>
        <w:ind w:left="851" w:right="283"/>
        <w:rPr>
          <w:rFonts w:cs="Arial"/>
          <w:szCs w:val="24"/>
        </w:rPr>
      </w:pPr>
      <w:r w:rsidRPr="00ED5AD0">
        <w:rPr>
          <w:rFonts w:cs="Arial"/>
          <w:szCs w:val="24"/>
        </w:rPr>
        <w:t xml:space="preserve">In such situations there is a commitment to provide this training to enable the employee to deliver the requirements of the post within a relatively short time (12 - 18 months).  The grade of the post might be adjusted during this training time to reflect this and to ensure equity with comparable post holders. </w:t>
      </w:r>
    </w:p>
    <w:p w14:paraId="635BB28F" w14:textId="77777777" w:rsidR="00240B0C" w:rsidRPr="00ED5AD0" w:rsidRDefault="00240B0C" w:rsidP="00CB37B8">
      <w:pPr>
        <w:ind w:left="851" w:right="283"/>
        <w:rPr>
          <w:rFonts w:cs="Arial"/>
          <w:szCs w:val="24"/>
        </w:rPr>
      </w:pPr>
    </w:p>
    <w:p w14:paraId="4FDE0B43" w14:textId="77777777" w:rsidR="00240B0C" w:rsidRPr="00ED5AD0" w:rsidRDefault="00240B0C" w:rsidP="00CB37B8">
      <w:pPr>
        <w:ind w:left="851" w:right="283"/>
        <w:rPr>
          <w:rFonts w:cs="Arial"/>
          <w:szCs w:val="24"/>
        </w:rPr>
      </w:pPr>
      <w:r w:rsidRPr="00ED5AD0">
        <w:rPr>
          <w:rFonts w:cs="Arial"/>
          <w:szCs w:val="24"/>
        </w:rPr>
        <w:t xml:space="preserve">If an employee at risk expresses a desire to fully retrain to a different professional area, and this requires considerable investment in qualifications etc; this will be considered.  </w:t>
      </w:r>
      <w:proofErr w:type="gramStart"/>
      <w:r w:rsidRPr="00ED5AD0">
        <w:rPr>
          <w:rFonts w:cs="Arial"/>
          <w:szCs w:val="24"/>
        </w:rPr>
        <w:t>However</w:t>
      </w:r>
      <w:proofErr w:type="gramEnd"/>
      <w:r w:rsidRPr="00ED5AD0">
        <w:rPr>
          <w:rFonts w:cs="Arial"/>
          <w:szCs w:val="24"/>
        </w:rPr>
        <w:t xml:space="preserve"> this can only be agreed to if there is an ongoing demand for that skill, and if there is significant cost to the training (</w:t>
      </w:r>
      <w:proofErr w:type="spellStart"/>
      <w:r w:rsidRPr="00ED5AD0">
        <w:rPr>
          <w:rFonts w:cs="Arial"/>
          <w:szCs w:val="24"/>
        </w:rPr>
        <w:t>eg</w:t>
      </w:r>
      <w:proofErr w:type="spellEnd"/>
      <w:r w:rsidRPr="00ED5AD0">
        <w:rPr>
          <w:rFonts w:cs="Arial"/>
          <w:szCs w:val="24"/>
        </w:rPr>
        <w:t xml:space="preserve"> a degree) this can be met from existing budgets.  The usual requirements of the PETs scheme will apply.</w:t>
      </w:r>
    </w:p>
    <w:p w14:paraId="1462F816" w14:textId="77777777" w:rsidR="00240B0C" w:rsidRPr="00ED5AD0" w:rsidRDefault="00240B0C" w:rsidP="00CB37B8">
      <w:pPr>
        <w:ind w:left="851" w:right="283"/>
        <w:rPr>
          <w:b/>
        </w:rPr>
      </w:pPr>
    </w:p>
    <w:p w14:paraId="33D4294D" w14:textId="77777777" w:rsidR="00240B0C" w:rsidRPr="00ED5AD0" w:rsidRDefault="00240B0C" w:rsidP="00D9180A">
      <w:pPr>
        <w:pStyle w:val="BodyText"/>
        <w:ind w:left="851" w:right="283"/>
        <w:jc w:val="left"/>
        <w:rPr>
          <w:rFonts w:cs="Arial"/>
          <w:b/>
          <w:bCs/>
        </w:rPr>
      </w:pPr>
    </w:p>
    <w:p w14:paraId="6D41497C" w14:textId="77777777" w:rsidR="00240B0C" w:rsidRPr="00ED5AD0" w:rsidRDefault="00240B0C" w:rsidP="00D9180A">
      <w:pPr>
        <w:pStyle w:val="BodyText"/>
        <w:ind w:left="851" w:right="283"/>
        <w:jc w:val="left"/>
        <w:rPr>
          <w:rFonts w:cs="Arial"/>
          <w:b/>
          <w:bCs/>
        </w:rPr>
      </w:pPr>
    </w:p>
    <w:p w14:paraId="7CAD0411" w14:textId="77777777" w:rsidR="00240B0C" w:rsidRPr="00ED5AD0" w:rsidRDefault="00240B0C" w:rsidP="00D9180A">
      <w:pPr>
        <w:pStyle w:val="BodyText"/>
        <w:ind w:left="851" w:right="283"/>
        <w:jc w:val="left"/>
        <w:rPr>
          <w:rFonts w:cs="Arial"/>
          <w:b/>
          <w:bCs/>
        </w:rPr>
      </w:pPr>
    </w:p>
    <w:p w14:paraId="14820148" w14:textId="77777777" w:rsidR="00240B0C" w:rsidRPr="00ED5AD0" w:rsidRDefault="00240B0C" w:rsidP="00D9180A">
      <w:pPr>
        <w:pStyle w:val="BodyText"/>
        <w:ind w:left="851" w:right="283"/>
        <w:jc w:val="left"/>
        <w:rPr>
          <w:rFonts w:cs="Arial"/>
          <w:b/>
          <w:bCs/>
        </w:rPr>
      </w:pPr>
    </w:p>
    <w:p w14:paraId="5A77D96F" w14:textId="77777777" w:rsidR="00240B0C" w:rsidRPr="00ED5AD0" w:rsidRDefault="00240B0C" w:rsidP="00D9180A">
      <w:pPr>
        <w:ind w:left="851" w:right="283"/>
        <w:rPr>
          <w:rFonts w:cs="Arial"/>
          <w:bCs/>
        </w:rPr>
      </w:pPr>
      <w:r w:rsidRPr="00ED5AD0">
        <w:rPr>
          <w:rFonts w:cs="Arial"/>
          <w:bCs/>
        </w:rPr>
        <w:t>(P&amp;R Committee September 2010</w:t>
      </w:r>
      <w:r w:rsidR="00D9180A" w:rsidRPr="00ED5AD0">
        <w:rPr>
          <w:rFonts w:cs="Arial"/>
          <w:bCs/>
        </w:rPr>
        <w:t>; minor wording update December 2016</w:t>
      </w:r>
      <w:r w:rsidRPr="00ED5AD0">
        <w:rPr>
          <w:rFonts w:cs="Arial"/>
          <w:bCs/>
        </w:rPr>
        <w:t xml:space="preserve">)  </w:t>
      </w:r>
    </w:p>
    <w:p w14:paraId="42DD4C98" w14:textId="77777777" w:rsidR="00240B0C" w:rsidRPr="00ED5AD0" w:rsidRDefault="00240B0C" w:rsidP="00D9180A">
      <w:pPr>
        <w:ind w:left="851" w:right="283"/>
        <w:rPr>
          <w:rFonts w:cs="Arial"/>
          <w:bCs/>
        </w:rPr>
      </w:pPr>
    </w:p>
    <w:p w14:paraId="3ED031D2" w14:textId="77777777" w:rsidR="00240B0C" w:rsidRPr="00ED5AD0" w:rsidRDefault="00240B0C" w:rsidP="00DB62C7">
      <w:pPr>
        <w:ind w:left="426" w:right="283"/>
        <w:rPr>
          <w:rFonts w:cs="Arial"/>
          <w:bCs/>
        </w:rPr>
      </w:pPr>
    </w:p>
    <w:p w14:paraId="54140D85" w14:textId="24C095B1" w:rsidR="00911A21" w:rsidRPr="00ED5AD0" w:rsidRDefault="00F16738" w:rsidP="00DB62C7">
      <w:pPr>
        <w:ind w:left="426" w:right="283"/>
        <w:jc w:val="right"/>
        <w:rPr>
          <w:b/>
          <w:bCs/>
        </w:rPr>
      </w:pPr>
      <w:r w:rsidRPr="00ED5AD0">
        <w:br w:type="page"/>
      </w:r>
      <w:r w:rsidR="00BA7DD3" w:rsidRPr="00ED5AD0">
        <w:rPr>
          <w:b/>
          <w:bCs/>
        </w:rPr>
        <w:lastRenderedPageBreak/>
        <w:t xml:space="preserve">Appendix </w:t>
      </w:r>
      <w:r w:rsidR="00160E37" w:rsidRPr="00ED5AD0">
        <w:rPr>
          <w:b/>
          <w:bCs/>
        </w:rPr>
        <w:t>F</w:t>
      </w:r>
    </w:p>
    <w:p w14:paraId="2057850E" w14:textId="77777777" w:rsidR="00911A21" w:rsidRPr="00ED5AD0" w:rsidRDefault="00911A21" w:rsidP="00DB62C7">
      <w:pPr>
        <w:ind w:left="426" w:right="283"/>
      </w:pPr>
    </w:p>
    <w:p w14:paraId="5898267A" w14:textId="77777777" w:rsidR="00911A21" w:rsidRPr="00ED5AD0" w:rsidRDefault="00911A21" w:rsidP="00DB62C7">
      <w:pPr>
        <w:ind w:left="426" w:right="283"/>
      </w:pPr>
    </w:p>
    <w:p w14:paraId="6008FF98" w14:textId="77777777" w:rsidR="00911A21" w:rsidRPr="00ED5AD0" w:rsidRDefault="00911A21" w:rsidP="00CB37B8">
      <w:pPr>
        <w:pStyle w:val="Title"/>
        <w:ind w:left="709" w:right="283"/>
        <w:jc w:val="left"/>
        <w:rPr>
          <w:szCs w:val="28"/>
          <w:u w:val="none"/>
        </w:rPr>
      </w:pPr>
      <w:r w:rsidRPr="00ED5AD0">
        <w:rPr>
          <w:szCs w:val="28"/>
          <w:u w:val="none"/>
        </w:rPr>
        <w:t>Further guidance for managing changes in posts throughout the council</w:t>
      </w:r>
    </w:p>
    <w:p w14:paraId="54424BED" w14:textId="77777777" w:rsidR="00911A21" w:rsidRPr="00ED5AD0" w:rsidRDefault="00911A21" w:rsidP="00CB37B8">
      <w:pPr>
        <w:ind w:left="709" w:right="283"/>
      </w:pPr>
    </w:p>
    <w:p w14:paraId="0E67978C" w14:textId="77777777" w:rsidR="00911A21" w:rsidRPr="00ED5AD0" w:rsidRDefault="00911A21" w:rsidP="00CB37B8">
      <w:pPr>
        <w:ind w:left="709" w:right="283"/>
      </w:pPr>
      <w:r w:rsidRPr="00ED5AD0">
        <w:t>Further to the general protocol adopted by the Council to support organisational change, for most structural change further guidance is offered that places the terms of the protocol into a practical context. The text below describes the normal process that will be adopted to bring about structural change.</w:t>
      </w:r>
    </w:p>
    <w:p w14:paraId="372D7E2C" w14:textId="77777777" w:rsidR="00911A21" w:rsidRPr="00ED5AD0" w:rsidRDefault="00911A21" w:rsidP="00CB37B8">
      <w:pPr>
        <w:ind w:left="709" w:right="283"/>
      </w:pPr>
      <w:r w:rsidRPr="00ED5AD0">
        <w:t xml:space="preserve">  </w:t>
      </w:r>
    </w:p>
    <w:p w14:paraId="674E2D2E" w14:textId="25CB02A0" w:rsidR="00911A21" w:rsidRPr="00ED5AD0" w:rsidRDefault="00911A21" w:rsidP="00CB37B8">
      <w:pPr>
        <w:ind w:left="709" w:right="283"/>
      </w:pPr>
      <w:r w:rsidRPr="00ED5AD0">
        <w:t xml:space="preserve">When proposals might lead to potential redundancies, in order to mitigate against compulsory redundancy </w:t>
      </w:r>
      <w:proofErr w:type="gramStart"/>
      <w:r w:rsidRPr="00ED5AD0">
        <w:t>situations</w:t>
      </w:r>
      <w:proofErr w:type="gramEnd"/>
      <w:r w:rsidRPr="00ED5AD0">
        <w:t xml:space="preserve"> the Council will use its general protocol </w:t>
      </w:r>
      <w:r w:rsidRPr="00ED5AD0">
        <w:rPr>
          <w:b/>
          <w:bCs/>
        </w:rPr>
        <w:t xml:space="preserve">(Appendix </w:t>
      </w:r>
      <w:r w:rsidR="00863073" w:rsidRPr="00ED5AD0">
        <w:rPr>
          <w:b/>
          <w:bCs/>
        </w:rPr>
        <w:t>E</w:t>
      </w:r>
      <w:r w:rsidRPr="00ED5AD0">
        <w:rPr>
          <w:b/>
          <w:bCs/>
        </w:rPr>
        <w:t>)</w:t>
      </w:r>
      <w:r w:rsidRPr="00ED5AD0">
        <w:t xml:space="preserve"> to help ensure that, where possible, current employees are not displaced.  </w:t>
      </w:r>
      <w:proofErr w:type="gramStart"/>
      <w:r w:rsidRPr="00ED5AD0">
        <w:t>In particular, new</w:t>
      </w:r>
      <w:proofErr w:type="gramEnd"/>
      <w:r w:rsidRPr="00ED5AD0">
        <w:t xml:space="preserve"> posts created in the proposals will be ring-fenced for competition from potentially displaced employees in the first instance.  Should there be any displaced employees remaining following such a redeployment exercise, any remaining vacancies will then be advertised on an open, internal-only basis </w:t>
      </w:r>
      <w:proofErr w:type="gramStart"/>
      <w:r w:rsidRPr="00ED5AD0">
        <w:t>in order to</w:t>
      </w:r>
      <w:proofErr w:type="gramEnd"/>
      <w:r w:rsidRPr="00ED5AD0">
        <w:t xml:space="preserve"> try to create other suitable vacancies that might be suitable for redeployment.  Throughout these processes, however, there is no guarantee of appointment as applicants will need to demonstrate the necessary skills and competency through the application and selection process.</w:t>
      </w:r>
    </w:p>
    <w:p w14:paraId="3D283DB0" w14:textId="77777777" w:rsidR="00911A21" w:rsidRPr="00ED5AD0" w:rsidRDefault="00911A21" w:rsidP="00CB37B8">
      <w:pPr>
        <w:ind w:left="709" w:right="283"/>
      </w:pPr>
    </w:p>
    <w:p w14:paraId="4BD36C11" w14:textId="77777777" w:rsidR="00911A21" w:rsidRPr="00ED5AD0" w:rsidRDefault="00911A21" w:rsidP="00CB37B8">
      <w:pPr>
        <w:ind w:left="709" w:right="283"/>
      </w:pPr>
      <w:r w:rsidRPr="00ED5AD0">
        <w:t>At the “internal-only” stage, should there be no other internal applicants other than the “at risk” candidates, then these employees would not be re-interviewed at this stage without competition and such vacancies would be put out for external advertisement.  Internal candidates, including those potentially at risk would then again be eligible to apply for these vacancies.</w:t>
      </w:r>
    </w:p>
    <w:p w14:paraId="08E5ADEF" w14:textId="77777777" w:rsidR="00911A21" w:rsidRPr="00ED5AD0" w:rsidRDefault="00911A21" w:rsidP="00CB37B8">
      <w:pPr>
        <w:ind w:left="709" w:right="283"/>
      </w:pPr>
    </w:p>
    <w:p w14:paraId="6E4E508F" w14:textId="77777777" w:rsidR="00911A21" w:rsidRPr="00ED5AD0" w:rsidRDefault="00911A21" w:rsidP="00CB37B8">
      <w:pPr>
        <w:ind w:left="709" w:right="283"/>
      </w:pPr>
      <w:r w:rsidRPr="00ED5AD0">
        <w:t xml:space="preserve">If there are employees that remain unplaced at the conclusion of this exercise, or if there are no posts suitable for redeployment through the above process at the time when an occupied post is deleted from the establishment, then the issue of redundancy notices may be necessary at that point, or earlier in if the council deems it appropriate and necessary in order to achieve business objectives. </w:t>
      </w:r>
    </w:p>
    <w:p w14:paraId="4D757AA1" w14:textId="77777777" w:rsidR="00911A21" w:rsidRPr="00ED5AD0" w:rsidRDefault="00911A21" w:rsidP="00CB37B8">
      <w:pPr>
        <w:ind w:left="709" w:right="283"/>
      </w:pPr>
    </w:p>
    <w:p w14:paraId="2EEE55EB" w14:textId="2DB569B9" w:rsidR="00222CE1" w:rsidRPr="00ED5AD0" w:rsidRDefault="00911A21" w:rsidP="00DB62C7">
      <w:pPr>
        <w:ind w:left="426" w:right="283"/>
        <w:jc w:val="right"/>
        <w:rPr>
          <w:b/>
          <w:bCs/>
        </w:rPr>
      </w:pPr>
      <w:r w:rsidRPr="00ED5AD0">
        <w:br w:type="page"/>
      </w:r>
      <w:r w:rsidR="00BA7DD3" w:rsidRPr="00ED5AD0">
        <w:rPr>
          <w:b/>
          <w:bCs/>
        </w:rPr>
        <w:lastRenderedPageBreak/>
        <w:t xml:space="preserve">Appendix </w:t>
      </w:r>
      <w:r w:rsidR="004D14B5" w:rsidRPr="00ED5AD0">
        <w:rPr>
          <w:b/>
          <w:bCs/>
        </w:rPr>
        <w:t>G</w:t>
      </w:r>
    </w:p>
    <w:p w14:paraId="4767A1FF" w14:textId="77777777" w:rsidR="000C0940" w:rsidRPr="00ED5AD0" w:rsidRDefault="000C0940" w:rsidP="00CB37B8">
      <w:pPr>
        <w:pStyle w:val="Heading1"/>
        <w:ind w:left="851" w:right="283"/>
        <w:rPr>
          <w:sz w:val="28"/>
          <w:szCs w:val="28"/>
        </w:rPr>
      </w:pPr>
      <w:bookmarkStart w:id="13" w:name="_Toc240686163"/>
      <w:r w:rsidRPr="00ED5AD0">
        <w:rPr>
          <w:sz w:val="28"/>
          <w:szCs w:val="28"/>
        </w:rPr>
        <w:t>Procedure for filling temporary vacancies</w:t>
      </w:r>
      <w:bookmarkEnd w:id="13"/>
    </w:p>
    <w:p w14:paraId="6DBE8E39" w14:textId="77777777" w:rsidR="000C0940" w:rsidRPr="00ED5AD0" w:rsidRDefault="000C0940" w:rsidP="00CB37B8">
      <w:pPr>
        <w:pStyle w:val="BodyText"/>
        <w:spacing w:after="0"/>
        <w:ind w:left="851" w:right="283"/>
        <w:rPr>
          <w:sz w:val="24"/>
          <w:szCs w:val="24"/>
        </w:rPr>
      </w:pPr>
      <w:proofErr w:type="gramStart"/>
      <w:r w:rsidRPr="00ED5AD0">
        <w:rPr>
          <w:sz w:val="24"/>
          <w:szCs w:val="24"/>
        </w:rPr>
        <w:t>In order to</w:t>
      </w:r>
      <w:proofErr w:type="gramEnd"/>
      <w:r w:rsidRPr="00ED5AD0">
        <w:rPr>
          <w:sz w:val="24"/>
          <w:szCs w:val="24"/>
        </w:rPr>
        <w:t xml:space="preserve"> recognise the current business climate as one of change and to help respond to the issues identified in the workforce development plan such as the need for succession planning, the Council will adopt the recruitment practice as follows:</w:t>
      </w:r>
    </w:p>
    <w:p w14:paraId="426311B3" w14:textId="77777777" w:rsidR="000C0940" w:rsidRPr="00ED5AD0" w:rsidRDefault="000C0940" w:rsidP="00CB37B8">
      <w:pPr>
        <w:pStyle w:val="BodyText"/>
        <w:spacing w:after="0"/>
        <w:ind w:left="851" w:right="283"/>
        <w:rPr>
          <w:sz w:val="24"/>
          <w:szCs w:val="24"/>
        </w:rPr>
      </w:pPr>
    </w:p>
    <w:p w14:paraId="6DAAD691" w14:textId="77777777" w:rsidR="000C0940" w:rsidRPr="00ED5AD0" w:rsidRDefault="000C0940" w:rsidP="00CB37B8">
      <w:pPr>
        <w:pStyle w:val="BodyText"/>
        <w:spacing w:after="0"/>
        <w:ind w:left="851" w:right="283"/>
        <w:rPr>
          <w:rFonts w:cs="Arial"/>
          <w:b/>
          <w:sz w:val="24"/>
          <w:szCs w:val="24"/>
        </w:rPr>
      </w:pPr>
      <w:r w:rsidRPr="00ED5AD0">
        <w:rPr>
          <w:rFonts w:cs="Arial"/>
          <w:b/>
          <w:sz w:val="24"/>
          <w:szCs w:val="24"/>
        </w:rPr>
        <w:t>Temporary Recruitment</w:t>
      </w:r>
    </w:p>
    <w:p w14:paraId="4DF67103" w14:textId="77777777" w:rsidR="000C0940" w:rsidRPr="00ED5AD0" w:rsidRDefault="000C0940" w:rsidP="00D32888">
      <w:pPr>
        <w:pStyle w:val="BodyText"/>
        <w:numPr>
          <w:ilvl w:val="0"/>
          <w:numId w:val="20"/>
        </w:numPr>
        <w:tabs>
          <w:tab w:val="clear" w:pos="720"/>
        </w:tabs>
        <w:spacing w:after="0" w:line="240" w:lineRule="auto"/>
        <w:ind w:left="851" w:right="283"/>
        <w:rPr>
          <w:sz w:val="24"/>
          <w:szCs w:val="24"/>
        </w:rPr>
      </w:pPr>
      <w:r w:rsidRPr="00ED5AD0">
        <w:rPr>
          <w:sz w:val="24"/>
          <w:szCs w:val="24"/>
        </w:rPr>
        <w:t xml:space="preserve">For all temporary posts of up to one year, where there is a likely prospect (determined jointly by the </w:t>
      </w:r>
      <w:r w:rsidR="00336F7E" w:rsidRPr="00ED5AD0">
        <w:rPr>
          <w:sz w:val="24"/>
          <w:szCs w:val="24"/>
        </w:rPr>
        <w:t xml:space="preserve">operational </w:t>
      </w:r>
      <w:r w:rsidR="00EA654F" w:rsidRPr="00ED5AD0">
        <w:rPr>
          <w:sz w:val="24"/>
          <w:szCs w:val="24"/>
        </w:rPr>
        <w:t>Head of Service</w:t>
      </w:r>
      <w:r w:rsidRPr="00ED5AD0">
        <w:rPr>
          <w:sz w:val="24"/>
          <w:szCs w:val="24"/>
        </w:rPr>
        <w:t xml:space="preserve"> and </w:t>
      </w:r>
      <w:r w:rsidR="00EA654F" w:rsidRPr="00ED5AD0">
        <w:rPr>
          <w:sz w:val="24"/>
          <w:szCs w:val="24"/>
        </w:rPr>
        <w:t>Head of Service for HR</w:t>
      </w:r>
      <w:r w:rsidRPr="00ED5AD0">
        <w:rPr>
          <w:sz w:val="24"/>
          <w:szCs w:val="24"/>
        </w:rPr>
        <w:t xml:space="preserve">) that the temporary vacancy could be filled with a suitably qualified and experienced, high-calibre internal candidate, then the post will be advertised openly but internally in the first instance.  </w:t>
      </w:r>
    </w:p>
    <w:p w14:paraId="025A4F25" w14:textId="77777777" w:rsidR="000C0940" w:rsidRPr="00ED5AD0" w:rsidRDefault="000C0940" w:rsidP="00CB37B8">
      <w:pPr>
        <w:pStyle w:val="BodyText"/>
        <w:spacing w:after="0"/>
        <w:ind w:left="851" w:right="283"/>
        <w:rPr>
          <w:sz w:val="24"/>
          <w:szCs w:val="24"/>
        </w:rPr>
      </w:pPr>
    </w:p>
    <w:p w14:paraId="5D9AE3C1" w14:textId="77777777" w:rsidR="000C0940" w:rsidRPr="00ED5AD0" w:rsidRDefault="000C0940" w:rsidP="00CB37B8">
      <w:pPr>
        <w:pStyle w:val="BodyText"/>
        <w:spacing w:after="0"/>
        <w:ind w:left="851" w:right="283"/>
        <w:rPr>
          <w:sz w:val="24"/>
          <w:szCs w:val="24"/>
        </w:rPr>
      </w:pPr>
      <w:r w:rsidRPr="00ED5AD0">
        <w:rPr>
          <w:sz w:val="24"/>
          <w:szCs w:val="24"/>
        </w:rPr>
        <w:t xml:space="preserve">Normally, a full recruitment process will apply.  However, there may be occasions where “expressions of interest” are invited through advertisement; the purpose of this is to speed up the process where the vacancy is particularly specialist and only a small number of people may be suitably qualified.  In effect, it is a quick method of testing the internal market.  Where this method is used and there is only one interested person, it will be sufficient to assess their suitability through a “targeted- question” interview; an application form may be unnecessary. If more than one person expresses an interest, all people will be required to complete an application </w:t>
      </w:r>
      <w:proofErr w:type="gramStart"/>
      <w:r w:rsidRPr="00ED5AD0">
        <w:rPr>
          <w:sz w:val="24"/>
          <w:szCs w:val="24"/>
        </w:rPr>
        <w:t>form</w:t>
      </w:r>
      <w:proofErr w:type="gramEnd"/>
      <w:r w:rsidRPr="00ED5AD0">
        <w:rPr>
          <w:sz w:val="24"/>
          <w:szCs w:val="24"/>
        </w:rPr>
        <w:t xml:space="preserve"> and a full selection process will be followed.  </w:t>
      </w:r>
    </w:p>
    <w:p w14:paraId="1A204E7E" w14:textId="77777777" w:rsidR="000C0940" w:rsidRPr="00ED5AD0" w:rsidRDefault="000C0940" w:rsidP="00CB37B8">
      <w:pPr>
        <w:pStyle w:val="BodyText"/>
        <w:spacing w:after="0"/>
        <w:ind w:left="851" w:right="283"/>
        <w:rPr>
          <w:sz w:val="24"/>
          <w:szCs w:val="24"/>
        </w:rPr>
      </w:pPr>
    </w:p>
    <w:p w14:paraId="646FE70D" w14:textId="77777777" w:rsidR="000C0940" w:rsidRPr="00ED5AD0" w:rsidRDefault="000C0940" w:rsidP="00D32888">
      <w:pPr>
        <w:pStyle w:val="BodyText"/>
        <w:numPr>
          <w:ilvl w:val="0"/>
          <w:numId w:val="20"/>
        </w:numPr>
        <w:tabs>
          <w:tab w:val="clear" w:pos="720"/>
        </w:tabs>
        <w:spacing w:after="0" w:line="240" w:lineRule="auto"/>
        <w:ind w:left="851" w:right="283"/>
        <w:rPr>
          <w:sz w:val="24"/>
          <w:szCs w:val="24"/>
        </w:rPr>
      </w:pPr>
      <w:r w:rsidRPr="00ED5AD0">
        <w:rPr>
          <w:sz w:val="24"/>
          <w:szCs w:val="24"/>
        </w:rPr>
        <w:t xml:space="preserve">Traineeships of up to a year are excluded from this arrangement to only advertise internally; all such vacancies will be advertised externally. </w:t>
      </w:r>
    </w:p>
    <w:p w14:paraId="33FFCF2A" w14:textId="77777777" w:rsidR="000C0940" w:rsidRPr="00ED5AD0" w:rsidRDefault="000C0940" w:rsidP="00CB37B8">
      <w:pPr>
        <w:pStyle w:val="BodyText"/>
        <w:spacing w:after="0"/>
        <w:ind w:left="851" w:right="283"/>
        <w:rPr>
          <w:sz w:val="24"/>
          <w:szCs w:val="24"/>
        </w:rPr>
      </w:pPr>
    </w:p>
    <w:p w14:paraId="77BB583E" w14:textId="77777777" w:rsidR="000C0940" w:rsidRPr="00ED5AD0" w:rsidRDefault="000C0940" w:rsidP="00D32888">
      <w:pPr>
        <w:pStyle w:val="BodyText"/>
        <w:numPr>
          <w:ilvl w:val="0"/>
          <w:numId w:val="20"/>
        </w:numPr>
        <w:tabs>
          <w:tab w:val="clear" w:pos="720"/>
        </w:tabs>
        <w:spacing w:after="0" w:line="240" w:lineRule="auto"/>
        <w:ind w:left="851" w:right="283"/>
        <w:rPr>
          <w:sz w:val="24"/>
          <w:szCs w:val="24"/>
        </w:rPr>
      </w:pPr>
      <w:r w:rsidRPr="00ED5AD0">
        <w:rPr>
          <w:sz w:val="24"/>
          <w:szCs w:val="24"/>
        </w:rPr>
        <w:t>Where a post becomes permanent after being occupied for a temporary period of any length, the vacancy will be advertised externally</w:t>
      </w:r>
      <w:r w:rsidR="00D06ABF" w:rsidRPr="00ED5AD0">
        <w:rPr>
          <w:sz w:val="24"/>
          <w:szCs w:val="24"/>
        </w:rPr>
        <w:t xml:space="preserve"> (unless employment rights have been accrued in which case it may be necessary to place the post holder into the permanent post without further process)</w:t>
      </w:r>
      <w:r w:rsidRPr="00ED5AD0">
        <w:rPr>
          <w:sz w:val="24"/>
          <w:szCs w:val="24"/>
        </w:rPr>
        <w:t>.</w:t>
      </w:r>
    </w:p>
    <w:p w14:paraId="6935487E" w14:textId="77777777" w:rsidR="000C0940" w:rsidRPr="00ED5AD0" w:rsidRDefault="000C0940" w:rsidP="00CB37B8">
      <w:pPr>
        <w:pStyle w:val="BodyText"/>
        <w:spacing w:after="0"/>
        <w:ind w:left="851" w:right="283"/>
        <w:rPr>
          <w:sz w:val="24"/>
          <w:szCs w:val="24"/>
        </w:rPr>
      </w:pPr>
    </w:p>
    <w:p w14:paraId="3C2B0149" w14:textId="77777777" w:rsidR="000C0940" w:rsidRPr="00ED5AD0" w:rsidRDefault="000C0940" w:rsidP="00D32888">
      <w:pPr>
        <w:pStyle w:val="BodyText"/>
        <w:numPr>
          <w:ilvl w:val="0"/>
          <w:numId w:val="20"/>
        </w:numPr>
        <w:tabs>
          <w:tab w:val="clear" w:pos="720"/>
        </w:tabs>
        <w:spacing w:after="0" w:line="240" w:lineRule="auto"/>
        <w:ind w:left="851" w:right="283"/>
        <w:rPr>
          <w:sz w:val="24"/>
          <w:szCs w:val="24"/>
        </w:rPr>
      </w:pPr>
      <w:r w:rsidRPr="00ED5AD0">
        <w:rPr>
          <w:sz w:val="24"/>
          <w:szCs w:val="24"/>
        </w:rPr>
        <w:t>Normally, where a short-term vacancy is identified, it will be filled by the above methods.  In certain circumstances, particularly those where a reduced (partial) set of tasks or responsibilities need to be picked up within a team, the vacancy is specific and technical in nature, or the need to fill is exceptionally urgent, then an honorarium arrangement may be appropriate.</w:t>
      </w:r>
    </w:p>
    <w:p w14:paraId="58DD1C7E" w14:textId="77777777" w:rsidR="000C0940" w:rsidRPr="00ED5AD0" w:rsidRDefault="000C0940" w:rsidP="00CB37B8">
      <w:pPr>
        <w:pStyle w:val="BodyText"/>
        <w:spacing w:after="0"/>
        <w:ind w:left="851" w:right="283"/>
        <w:rPr>
          <w:sz w:val="24"/>
          <w:szCs w:val="24"/>
        </w:rPr>
      </w:pPr>
    </w:p>
    <w:p w14:paraId="359AF8D9" w14:textId="77777777" w:rsidR="000C0940" w:rsidRPr="00ED5AD0" w:rsidRDefault="000C0940" w:rsidP="00CB37B8">
      <w:pPr>
        <w:pStyle w:val="BodyText"/>
        <w:spacing w:after="0"/>
        <w:ind w:left="851" w:right="283"/>
        <w:rPr>
          <w:rFonts w:cs="Arial"/>
          <w:b/>
          <w:sz w:val="24"/>
          <w:szCs w:val="24"/>
        </w:rPr>
      </w:pPr>
      <w:r w:rsidRPr="00ED5AD0">
        <w:rPr>
          <w:rFonts w:cs="Arial"/>
          <w:b/>
          <w:sz w:val="24"/>
          <w:szCs w:val="24"/>
        </w:rPr>
        <w:t>Honoraria</w:t>
      </w:r>
    </w:p>
    <w:p w14:paraId="154965F7" w14:textId="69C28AB3"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A </w:t>
      </w:r>
      <w:r w:rsidR="00C30664" w:rsidRPr="00ED5AD0">
        <w:rPr>
          <w:sz w:val="24"/>
          <w:szCs w:val="24"/>
        </w:rPr>
        <w:t xml:space="preserve">Head of Service </w:t>
      </w:r>
      <w:r w:rsidRPr="00ED5AD0">
        <w:rPr>
          <w:sz w:val="24"/>
          <w:szCs w:val="24"/>
        </w:rPr>
        <w:t xml:space="preserve">may seek, in conjunction with </w:t>
      </w:r>
      <w:r w:rsidR="00EA654F" w:rsidRPr="00ED5AD0">
        <w:rPr>
          <w:sz w:val="24"/>
          <w:szCs w:val="24"/>
        </w:rPr>
        <w:t xml:space="preserve">the Head of </w:t>
      </w:r>
      <w:r w:rsidR="00A13B3C" w:rsidRPr="00ED5AD0">
        <w:rPr>
          <w:sz w:val="24"/>
          <w:szCs w:val="24"/>
        </w:rPr>
        <w:t xml:space="preserve">Service for </w:t>
      </w:r>
      <w:r w:rsidR="00EA654F" w:rsidRPr="00ED5AD0">
        <w:rPr>
          <w:sz w:val="24"/>
          <w:szCs w:val="24"/>
        </w:rPr>
        <w:t>HR</w:t>
      </w:r>
      <w:r w:rsidRPr="00ED5AD0">
        <w:rPr>
          <w:sz w:val="24"/>
          <w:szCs w:val="24"/>
        </w:rPr>
        <w:t>, to apply an honorarium in the following circumstances:</w:t>
      </w:r>
    </w:p>
    <w:p w14:paraId="3BD972FF"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A vacancy exists in the existing </w:t>
      </w:r>
      <w:proofErr w:type="gramStart"/>
      <w:r w:rsidRPr="00ED5AD0">
        <w:rPr>
          <w:sz w:val="24"/>
          <w:szCs w:val="24"/>
        </w:rPr>
        <w:t>team</w:t>
      </w:r>
      <w:proofErr w:type="gramEnd"/>
      <w:r w:rsidRPr="00ED5AD0">
        <w:rPr>
          <w:sz w:val="24"/>
          <w:szCs w:val="24"/>
        </w:rPr>
        <w:t xml:space="preserve"> and it is decided jointly by the </w:t>
      </w:r>
      <w:r w:rsidR="00EA654F" w:rsidRPr="00ED5AD0">
        <w:rPr>
          <w:sz w:val="24"/>
          <w:szCs w:val="24"/>
        </w:rPr>
        <w:t>Head of Service</w:t>
      </w:r>
      <w:r w:rsidRPr="00ED5AD0">
        <w:rPr>
          <w:sz w:val="24"/>
          <w:szCs w:val="24"/>
        </w:rPr>
        <w:t xml:space="preserve"> and </w:t>
      </w:r>
      <w:r w:rsidR="00EA654F" w:rsidRPr="00ED5AD0">
        <w:rPr>
          <w:sz w:val="24"/>
          <w:szCs w:val="24"/>
        </w:rPr>
        <w:t xml:space="preserve">Head of </w:t>
      </w:r>
      <w:r w:rsidR="00A13B3C" w:rsidRPr="00ED5AD0">
        <w:rPr>
          <w:sz w:val="24"/>
          <w:szCs w:val="24"/>
        </w:rPr>
        <w:t>Service</w:t>
      </w:r>
      <w:r w:rsidR="00EA654F" w:rsidRPr="00ED5AD0">
        <w:rPr>
          <w:sz w:val="24"/>
          <w:szCs w:val="24"/>
        </w:rPr>
        <w:t xml:space="preserve"> for HR</w:t>
      </w:r>
      <w:r w:rsidR="00A13B3C" w:rsidRPr="00ED5AD0">
        <w:rPr>
          <w:sz w:val="24"/>
          <w:szCs w:val="24"/>
        </w:rPr>
        <w:t xml:space="preserve"> </w:t>
      </w:r>
      <w:r w:rsidRPr="00ED5AD0">
        <w:rPr>
          <w:sz w:val="24"/>
          <w:szCs w:val="24"/>
        </w:rPr>
        <w:t>that the vacancy should be filled on a short-term basis, but that there is not a need to fill the post at its full grade; the range of duties and level of responsibilities are reduced.   OR</w:t>
      </w:r>
    </w:p>
    <w:p w14:paraId="201D784E"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In the short-term, additional duties and responsibilities are required of one or more post holders to recognise </w:t>
      </w:r>
      <w:proofErr w:type="gramStart"/>
      <w:r w:rsidRPr="00ED5AD0">
        <w:rPr>
          <w:sz w:val="24"/>
          <w:szCs w:val="24"/>
        </w:rPr>
        <w:t>particular business</w:t>
      </w:r>
      <w:proofErr w:type="gramEnd"/>
      <w:r w:rsidRPr="00ED5AD0">
        <w:rPr>
          <w:sz w:val="24"/>
          <w:szCs w:val="24"/>
        </w:rPr>
        <w:t xml:space="preserve"> needs even though there is no specific vacancy at a more senior level.</w:t>
      </w:r>
    </w:p>
    <w:p w14:paraId="259D0FBF" w14:textId="77777777" w:rsidR="000C0940" w:rsidRPr="00ED5AD0" w:rsidRDefault="00D06ABF"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When a </w:t>
      </w:r>
      <w:r w:rsidR="000C0940" w:rsidRPr="00ED5AD0">
        <w:rPr>
          <w:sz w:val="24"/>
          <w:szCs w:val="24"/>
        </w:rPr>
        <w:t xml:space="preserve">“Principal Officer” (those posts graded at pay band 10 and </w:t>
      </w:r>
      <w:proofErr w:type="gramStart"/>
      <w:r w:rsidR="000C0940" w:rsidRPr="00ED5AD0">
        <w:rPr>
          <w:sz w:val="24"/>
          <w:szCs w:val="24"/>
        </w:rPr>
        <w:t>above)  formally</w:t>
      </w:r>
      <w:proofErr w:type="gramEnd"/>
      <w:r w:rsidR="000C0940" w:rsidRPr="00ED5AD0">
        <w:rPr>
          <w:sz w:val="24"/>
          <w:szCs w:val="24"/>
        </w:rPr>
        <w:t xml:space="preserve"> covers some or all of the duties of a more senior post for a period of more than four weeks</w:t>
      </w:r>
      <w:r w:rsidRPr="00ED5AD0">
        <w:rPr>
          <w:sz w:val="24"/>
          <w:szCs w:val="24"/>
        </w:rPr>
        <w:t xml:space="preserve"> </w:t>
      </w:r>
      <w:r w:rsidR="000C0940" w:rsidRPr="00ED5AD0">
        <w:rPr>
          <w:sz w:val="24"/>
          <w:szCs w:val="24"/>
        </w:rPr>
        <w:t xml:space="preserve">it may be appropriate to apply an honorarium </w:t>
      </w:r>
      <w:r w:rsidR="000C0940" w:rsidRPr="00ED5AD0">
        <w:rPr>
          <w:sz w:val="24"/>
          <w:szCs w:val="24"/>
        </w:rPr>
        <w:lastRenderedPageBreak/>
        <w:t xml:space="preserve">arrangement as for other posts. </w:t>
      </w:r>
    </w:p>
    <w:p w14:paraId="1571C9D6" w14:textId="77777777" w:rsidR="000C0940" w:rsidRPr="00ED5AD0" w:rsidRDefault="000C0940" w:rsidP="00CB37B8">
      <w:pPr>
        <w:pStyle w:val="BodyText"/>
        <w:spacing w:after="0"/>
        <w:ind w:left="851" w:right="283"/>
        <w:rPr>
          <w:sz w:val="24"/>
          <w:szCs w:val="24"/>
        </w:rPr>
      </w:pPr>
    </w:p>
    <w:p w14:paraId="4958DA1A"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Honoraria payments will not normally go on beyond one year.</w:t>
      </w:r>
    </w:p>
    <w:p w14:paraId="70B3FC99" w14:textId="77777777" w:rsidR="000C0940" w:rsidRPr="00ED5AD0" w:rsidRDefault="000C0940" w:rsidP="00CB37B8">
      <w:pPr>
        <w:pStyle w:val="BodyText"/>
        <w:spacing w:after="0"/>
        <w:ind w:left="851" w:right="283"/>
        <w:rPr>
          <w:sz w:val="24"/>
          <w:szCs w:val="24"/>
        </w:rPr>
      </w:pPr>
    </w:p>
    <w:p w14:paraId="43EE5BAA"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The level of payment will normally be set at a fixed spinal column point or salary figure to represent the additional duties and responsibilities to be carried out by the employee.</w:t>
      </w:r>
    </w:p>
    <w:p w14:paraId="2A3F59C2" w14:textId="77777777" w:rsidR="000C0940" w:rsidRPr="00ED5AD0" w:rsidRDefault="000C0940" w:rsidP="00CB37B8">
      <w:pPr>
        <w:pStyle w:val="BodyText"/>
        <w:spacing w:after="0"/>
        <w:ind w:left="851" w:right="283"/>
        <w:rPr>
          <w:sz w:val="24"/>
          <w:szCs w:val="24"/>
        </w:rPr>
      </w:pPr>
    </w:p>
    <w:p w14:paraId="5B632883"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The level of payment will be agreed between the </w:t>
      </w:r>
      <w:r w:rsidR="00EA654F" w:rsidRPr="00ED5AD0">
        <w:rPr>
          <w:sz w:val="24"/>
          <w:szCs w:val="24"/>
        </w:rPr>
        <w:t>Head of Service</w:t>
      </w:r>
      <w:r w:rsidRPr="00ED5AD0">
        <w:rPr>
          <w:sz w:val="24"/>
          <w:szCs w:val="24"/>
        </w:rPr>
        <w:t xml:space="preserve"> and </w:t>
      </w:r>
      <w:r w:rsidR="00EA654F" w:rsidRPr="00ED5AD0">
        <w:rPr>
          <w:sz w:val="24"/>
          <w:szCs w:val="24"/>
        </w:rPr>
        <w:t xml:space="preserve">Head of </w:t>
      </w:r>
      <w:r w:rsidR="00A13B3C" w:rsidRPr="00ED5AD0">
        <w:rPr>
          <w:sz w:val="24"/>
          <w:szCs w:val="24"/>
        </w:rPr>
        <w:t xml:space="preserve">Service for </w:t>
      </w:r>
      <w:r w:rsidR="00EA654F" w:rsidRPr="00ED5AD0">
        <w:rPr>
          <w:sz w:val="24"/>
          <w:szCs w:val="24"/>
        </w:rPr>
        <w:t>HR</w:t>
      </w:r>
      <w:r w:rsidRPr="00ED5AD0">
        <w:rPr>
          <w:sz w:val="24"/>
          <w:szCs w:val="24"/>
        </w:rPr>
        <w:t xml:space="preserve">.  This may be done by establishing a “felt-fair” spinal column point between the employee’s current pay point and the level of duties and responsibilities expected.  Where it is difficult or contentious to identify a point in this way, job evaluation may be used to identify an appropriate pay band and then a point to be applied within this band will be agreed by the </w:t>
      </w:r>
      <w:r w:rsidR="00EA654F" w:rsidRPr="00ED5AD0">
        <w:rPr>
          <w:sz w:val="24"/>
          <w:szCs w:val="24"/>
        </w:rPr>
        <w:t>Head of Service</w:t>
      </w:r>
      <w:r w:rsidRPr="00ED5AD0">
        <w:rPr>
          <w:sz w:val="24"/>
          <w:szCs w:val="24"/>
        </w:rPr>
        <w:t xml:space="preserve"> and </w:t>
      </w:r>
      <w:r w:rsidR="00EA654F" w:rsidRPr="00ED5AD0">
        <w:rPr>
          <w:sz w:val="24"/>
          <w:szCs w:val="24"/>
        </w:rPr>
        <w:t xml:space="preserve">Head of </w:t>
      </w:r>
      <w:r w:rsidR="00A13B3C" w:rsidRPr="00ED5AD0">
        <w:rPr>
          <w:sz w:val="24"/>
          <w:szCs w:val="24"/>
        </w:rPr>
        <w:t xml:space="preserve">Service for </w:t>
      </w:r>
      <w:r w:rsidR="00EA654F" w:rsidRPr="00ED5AD0">
        <w:rPr>
          <w:sz w:val="24"/>
          <w:szCs w:val="24"/>
        </w:rPr>
        <w:t>HR</w:t>
      </w:r>
      <w:r w:rsidRPr="00ED5AD0">
        <w:rPr>
          <w:sz w:val="24"/>
          <w:szCs w:val="24"/>
        </w:rPr>
        <w:t>.</w:t>
      </w:r>
    </w:p>
    <w:p w14:paraId="06161CE9" w14:textId="77777777" w:rsidR="000C0940" w:rsidRPr="00ED5AD0" w:rsidRDefault="000C0940" w:rsidP="00CB37B8">
      <w:pPr>
        <w:pStyle w:val="BodyText"/>
        <w:spacing w:after="0"/>
        <w:ind w:left="851" w:right="283"/>
        <w:rPr>
          <w:sz w:val="24"/>
          <w:szCs w:val="24"/>
        </w:rPr>
      </w:pPr>
    </w:p>
    <w:p w14:paraId="195FB8AA"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Selection for honoraria may take place in </w:t>
      </w:r>
      <w:proofErr w:type="gramStart"/>
      <w:r w:rsidRPr="00ED5AD0">
        <w:rPr>
          <w:sz w:val="24"/>
          <w:szCs w:val="24"/>
        </w:rPr>
        <w:t>a number of</w:t>
      </w:r>
      <w:proofErr w:type="gramEnd"/>
      <w:r w:rsidRPr="00ED5AD0">
        <w:rPr>
          <w:sz w:val="24"/>
          <w:szCs w:val="24"/>
        </w:rPr>
        <w:t xml:space="preserve"> ways:</w:t>
      </w:r>
    </w:p>
    <w:p w14:paraId="083C1712" w14:textId="77777777" w:rsidR="000C0940" w:rsidRPr="00ED5AD0" w:rsidRDefault="000C0940" w:rsidP="00570C15">
      <w:pPr>
        <w:pStyle w:val="BodyText"/>
        <w:spacing w:after="0" w:line="240" w:lineRule="auto"/>
        <w:ind w:left="851" w:right="283"/>
        <w:rPr>
          <w:sz w:val="24"/>
          <w:szCs w:val="24"/>
        </w:rPr>
      </w:pPr>
      <w:r w:rsidRPr="00ED5AD0">
        <w:rPr>
          <w:sz w:val="24"/>
          <w:szCs w:val="24"/>
        </w:rPr>
        <w:t xml:space="preserve">Where particular, specific skills are required and it is reasonable to expect that only one post holder will meet the criteria at a particular work base (for example, Civic Centre, specified Leisure Centre), the </w:t>
      </w:r>
      <w:r w:rsidR="00EA654F" w:rsidRPr="00ED5AD0">
        <w:rPr>
          <w:sz w:val="24"/>
          <w:szCs w:val="24"/>
        </w:rPr>
        <w:t>Head of Service</w:t>
      </w:r>
      <w:r w:rsidRPr="00ED5AD0">
        <w:rPr>
          <w:sz w:val="24"/>
          <w:szCs w:val="24"/>
        </w:rPr>
        <w:t xml:space="preserve"> may, following consultation with, and agreement by, </w:t>
      </w:r>
      <w:r w:rsidR="00EA654F" w:rsidRPr="00ED5AD0">
        <w:rPr>
          <w:sz w:val="24"/>
          <w:szCs w:val="24"/>
        </w:rPr>
        <w:t xml:space="preserve">Head of </w:t>
      </w:r>
      <w:r w:rsidR="00A13B3C" w:rsidRPr="00ED5AD0">
        <w:rPr>
          <w:sz w:val="24"/>
          <w:szCs w:val="24"/>
        </w:rPr>
        <w:t xml:space="preserve">Service for </w:t>
      </w:r>
      <w:r w:rsidR="00EA654F" w:rsidRPr="00ED5AD0">
        <w:rPr>
          <w:sz w:val="24"/>
          <w:szCs w:val="24"/>
        </w:rPr>
        <w:t>HR</w:t>
      </w:r>
      <w:r w:rsidRPr="00ED5AD0">
        <w:rPr>
          <w:sz w:val="24"/>
          <w:szCs w:val="24"/>
        </w:rPr>
        <w:t>, identify a particular individual to whom they wish to offer an honorarium.</w:t>
      </w:r>
    </w:p>
    <w:p w14:paraId="044DC1B1" w14:textId="77777777" w:rsidR="000C0940" w:rsidRPr="00ED5AD0" w:rsidRDefault="000C0940" w:rsidP="00CB37B8">
      <w:pPr>
        <w:pStyle w:val="BodyText"/>
        <w:spacing w:after="0" w:line="240" w:lineRule="auto"/>
        <w:ind w:left="851" w:right="283"/>
        <w:rPr>
          <w:sz w:val="24"/>
          <w:szCs w:val="24"/>
        </w:rPr>
      </w:pPr>
    </w:p>
    <w:p w14:paraId="360C66F6"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 xml:space="preserve">Where a number of people within a team might be expected to be able to work up to a higher level, but people outside the team would not be expected to have the current skill-set required, the </w:t>
      </w:r>
      <w:r w:rsidR="00EA654F" w:rsidRPr="00ED5AD0">
        <w:rPr>
          <w:sz w:val="24"/>
          <w:szCs w:val="24"/>
        </w:rPr>
        <w:t>Head of Service</w:t>
      </w:r>
      <w:r w:rsidRPr="00ED5AD0">
        <w:rPr>
          <w:sz w:val="24"/>
          <w:szCs w:val="24"/>
        </w:rPr>
        <w:t xml:space="preserve"> would be expected, with appropriate assistance from Personnel Services to identify if there would be interest from a number of people to act up into a more senior role.  If this were the case, the </w:t>
      </w:r>
      <w:r w:rsidR="00EA654F" w:rsidRPr="00ED5AD0">
        <w:rPr>
          <w:sz w:val="24"/>
          <w:szCs w:val="24"/>
        </w:rPr>
        <w:t>Head of Service</w:t>
      </w:r>
      <w:r w:rsidRPr="00ED5AD0">
        <w:rPr>
          <w:sz w:val="24"/>
          <w:szCs w:val="24"/>
        </w:rPr>
        <w:t xml:space="preserve"> would need either to offer the opportunity to all interested parties on some fair rota basis or decide on a single candidate following some formal assessment process </w:t>
      </w:r>
      <w:proofErr w:type="gramStart"/>
      <w:r w:rsidRPr="00ED5AD0">
        <w:rPr>
          <w:sz w:val="24"/>
          <w:szCs w:val="24"/>
        </w:rPr>
        <w:t>similar to</w:t>
      </w:r>
      <w:proofErr w:type="gramEnd"/>
      <w:r w:rsidRPr="00ED5AD0">
        <w:rPr>
          <w:sz w:val="24"/>
          <w:szCs w:val="24"/>
        </w:rPr>
        <w:t xml:space="preserve"> a recruitment exercise, such as a targeted interview (although this would not necessarily require application form).  This exercise might be site-specific if there was a business or operational need to not alter or change staffing arrangements between work sites (for </w:t>
      </w:r>
      <w:proofErr w:type="gramStart"/>
      <w:r w:rsidRPr="00ED5AD0">
        <w:rPr>
          <w:sz w:val="24"/>
          <w:szCs w:val="24"/>
        </w:rPr>
        <w:t>example;</w:t>
      </w:r>
      <w:proofErr w:type="gramEnd"/>
      <w:r w:rsidRPr="00ED5AD0">
        <w:rPr>
          <w:sz w:val="24"/>
          <w:szCs w:val="24"/>
        </w:rPr>
        <w:t xml:space="preserve"> opportunity to act up to a duty manager role at a leisure centre may only be offered to employees currently working at that site).</w:t>
      </w:r>
    </w:p>
    <w:p w14:paraId="14D6C609" w14:textId="77777777" w:rsidR="000C0940" w:rsidRPr="00ED5AD0" w:rsidRDefault="000C0940" w:rsidP="00CB37B8">
      <w:pPr>
        <w:pStyle w:val="BodyText"/>
        <w:spacing w:after="0"/>
        <w:ind w:left="851" w:right="283"/>
        <w:rPr>
          <w:sz w:val="24"/>
          <w:szCs w:val="24"/>
        </w:rPr>
      </w:pPr>
    </w:p>
    <w:p w14:paraId="0E77F282" w14:textId="77777777" w:rsidR="000C0940" w:rsidRPr="00ED5AD0" w:rsidRDefault="000C0940" w:rsidP="00D32888">
      <w:pPr>
        <w:pStyle w:val="BodyText"/>
        <w:numPr>
          <w:ilvl w:val="0"/>
          <w:numId w:val="21"/>
        </w:numPr>
        <w:tabs>
          <w:tab w:val="clear" w:pos="720"/>
        </w:tabs>
        <w:spacing w:after="0" w:line="240" w:lineRule="auto"/>
        <w:ind w:left="851" w:right="283"/>
        <w:rPr>
          <w:sz w:val="24"/>
          <w:szCs w:val="24"/>
        </w:rPr>
      </w:pPr>
      <w:r w:rsidRPr="00ED5AD0">
        <w:rPr>
          <w:sz w:val="24"/>
          <w:szCs w:val="24"/>
        </w:rPr>
        <w:t>In cases where there is potential for a particular vacant role to be filled by employees from other teams, locations or services within the Council, unless there was a specific urgent need to find someone to carry out a particular role for a short length of time in which case either of the two above scenarios might apply, then the process to identify suitable candidates would mirror the steps for temporary employment above, including appropriate advertisement (in effect, it would be a recruitment exercise rather than an honorarium arrangement).</w:t>
      </w:r>
    </w:p>
    <w:p w14:paraId="2A9F1149" w14:textId="77777777" w:rsidR="000C0940" w:rsidRPr="00ED5AD0" w:rsidRDefault="000C0940" w:rsidP="00CB37B8">
      <w:pPr>
        <w:pStyle w:val="BodyText"/>
        <w:spacing w:after="0"/>
        <w:ind w:left="851" w:right="283"/>
        <w:rPr>
          <w:sz w:val="24"/>
          <w:szCs w:val="24"/>
        </w:rPr>
      </w:pPr>
    </w:p>
    <w:p w14:paraId="3366EFDE" w14:textId="77777777" w:rsidR="00222CE1" w:rsidRPr="00ED5AD0" w:rsidRDefault="000C0940" w:rsidP="00D32888">
      <w:pPr>
        <w:pStyle w:val="BodyText"/>
        <w:numPr>
          <w:ilvl w:val="0"/>
          <w:numId w:val="21"/>
        </w:numPr>
        <w:tabs>
          <w:tab w:val="clear" w:pos="720"/>
        </w:tabs>
        <w:spacing w:after="0" w:line="240" w:lineRule="auto"/>
        <w:ind w:left="851" w:right="283"/>
        <w:jc w:val="left"/>
        <w:rPr>
          <w:sz w:val="24"/>
          <w:szCs w:val="24"/>
        </w:rPr>
      </w:pPr>
      <w:r w:rsidRPr="00ED5AD0">
        <w:rPr>
          <w:sz w:val="24"/>
          <w:szCs w:val="24"/>
        </w:rPr>
        <w:t>Where a decision is taken to fill a post on a permanent basis that has been occupied at part or full duties by someone on an honorarium basis, the vacancy will be advertised externally.</w:t>
      </w:r>
    </w:p>
    <w:p w14:paraId="0F0CE308" w14:textId="77777777" w:rsidR="00222CE1" w:rsidRPr="00ED5AD0" w:rsidRDefault="00D6098A" w:rsidP="00CB37B8">
      <w:pPr>
        <w:ind w:left="851" w:right="283"/>
        <w:jc w:val="right"/>
      </w:pPr>
      <w:r w:rsidRPr="00ED5AD0">
        <w:br w:type="page"/>
      </w:r>
    </w:p>
    <w:p w14:paraId="7C6E530A" w14:textId="5FA28110" w:rsidR="0085435B" w:rsidRPr="00ED5AD0" w:rsidRDefault="001A57CF" w:rsidP="00DB62C7">
      <w:pPr>
        <w:ind w:left="426" w:right="283"/>
        <w:jc w:val="right"/>
        <w:rPr>
          <w:b/>
          <w:bCs/>
        </w:rPr>
      </w:pPr>
      <w:r w:rsidRPr="00ED5AD0">
        <w:rPr>
          <w:b/>
          <w:bCs/>
        </w:rPr>
        <w:lastRenderedPageBreak/>
        <w:t xml:space="preserve">Appendix </w:t>
      </w:r>
      <w:r w:rsidR="004D14B5" w:rsidRPr="00ED5AD0">
        <w:rPr>
          <w:b/>
          <w:bCs/>
        </w:rPr>
        <w:t>H</w:t>
      </w:r>
    </w:p>
    <w:p w14:paraId="2F749C1F" w14:textId="77777777" w:rsidR="001A57CF" w:rsidRPr="00ED5AD0" w:rsidRDefault="001A57CF" w:rsidP="00DB62C7">
      <w:pPr>
        <w:ind w:left="426" w:right="283"/>
        <w:jc w:val="both"/>
      </w:pPr>
    </w:p>
    <w:p w14:paraId="279623E9" w14:textId="1179E56F" w:rsidR="001A57CF" w:rsidRPr="00ED5AD0" w:rsidRDefault="002C4201" w:rsidP="001D7F20">
      <w:pPr>
        <w:ind w:right="283"/>
        <w:rPr>
          <w:b/>
          <w:sz w:val="28"/>
          <w:szCs w:val="28"/>
        </w:rPr>
      </w:pPr>
      <w:r w:rsidRPr="00ED5AD0">
        <w:rPr>
          <w:b/>
          <w:sz w:val="28"/>
          <w:szCs w:val="28"/>
        </w:rPr>
        <w:t xml:space="preserve">Pay policy governing </w:t>
      </w:r>
      <w:r w:rsidR="005103EB" w:rsidRPr="00ED5AD0">
        <w:rPr>
          <w:b/>
          <w:sz w:val="28"/>
          <w:szCs w:val="28"/>
        </w:rPr>
        <w:t>Director</w:t>
      </w:r>
      <w:r w:rsidRPr="00ED5AD0">
        <w:rPr>
          <w:b/>
          <w:sz w:val="28"/>
          <w:szCs w:val="28"/>
        </w:rPr>
        <w:t xml:space="preserve">s’ </w:t>
      </w:r>
      <w:proofErr w:type="gramStart"/>
      <w:r w:rsidRPr="00ED5AD0">
        <w:rPr>
          <w:b/>
          <w:sz w:val="28"/>
          <w:szCs w:val="28"/>
        </w:rPr>
        <w:t>pay</w:t>
      </w:r>
      <w:r w:rsidR="001A57CF" w:rsidRPr="00ED5AD0">
        <w:rPr>
          <w:b/>
          <w:sz w:val="28"/>
          <w:szCs w:val="28"/>
        </w:rPr>
        <w:t>;</w:t>
      </w:r>
      <w:proofErr w:type="gramEnd"/>
    </w:p>
    <w:p w14:paraId="45EC6288" w14:textId="77777777" w:rsidR="001A57CF" w:rsidRPr="00ED5AD0" w:rsidRDefault="001A57CF" w:rsidP="00DB62C7">
      <w:pPr>
        <w:ind w:left="426" w:right="283"/>
      </w:pPr>
      <w:r w:rsidRPr="00ED5AD0">
        <w:t xml:space="preserve"> </w:t>
      </w:r>
    </w:p>
    <w:p w14:paraId="188CE0C9" w14:textId="627369EB" w:rsidR="001D7F20" w:rsidRPr="00ED5AD0" w:rsidRDefault="001D7F20" w:rsidP="001D7F20">
      <w:pPr>
        <w:rPr>
          <w:rFonts w:cs="Arial"/>
          <w:color w:val="000000"/>
          <w:szCs w:val="24"/>
        </w:rPr>
      </w:pPr>
      <w:r w:rsidRPr="00ED5AD0">
        <w:rPr>
          <w:rFonts w:cs="Arial"/>
          <w:color w:val="000000"/>
          <w:szCs w:val="24"/>
        </w:rPr>
        <w:t xml:space="preserve">Appointment to any post of </w:t>
      </w:r>
      <w:r w:rsidR="005103EB" w:rsidRPr="00ED5AD0">
        <w:rPr>
          <w:rFonts w:cs="Arial"/>
          <w:color w:val="000000"/>
          <w:szCs w:val="24"/>
        </w:rPr>
        <w:t>Director</w:t>
      </w:r>
      <w:r w:rsidRPr="00ED5AD0">
        <w:rPr>
          <w:rFonts w:cs="Arial"/>
          <w:color w:val="000000"/>
          <w:szCs w:val="24"/>
        </w:rPr>
        <w:t xml:space="preserve"> will normally be made at the bottom scale point of a three-point pay scale.</w:t>
      </w:r>
    </w:p>
    <w:p w14:paraId="6F984FA4" w14:textId="77777777" w:rsidR="001D7F20" w:rsidRPr="00ED5AD0" w:rsidRDefault="001D7F20" w:rsidP="001D7F20">
      <w:pPr>
        <w:rPr>
          <w:rFonts w:cs="Arial"/>
          <w:color w:val="000000"/>
          <w:szCs w:val="24"/>
        </w:rPr>
      </w:pPr>
    </w:p>
    <w:p w14:paraId="41343180" w14:textId="77777777" w:rsidR="001D7F20" w:rsidRPr="00ED5AD0" w:rsidRDefault="001D7F20" w:rsidP="001D7F20">
      <w:pPr>
        <w:rPr>
          <w:rFonts w:cs="Arial"/>
          <w:color w:val="000000"/>
          <w:szCs w:val="24"/>
        </w:rPr>
      </w:pPr>
      <w:r w:rsidRPr="00ED5AD0">
        <w:rPr>
          <w:rFonts w:cs="Arial"/>
          <w:color w:val="000000"/>
          <w:szCs w:val="24"/>
        </w:rPr>
        <w:t>A formal performance review will be conducted by the Chief Executive to determine suitability to progress to the mid-point of the grade after one year’s service in post and following consultation with the Appointments and Conditions of Service Committee.</w:t>
      </w:r>
    </w:p>
    <w:p w14:paraId="0A5BDD23" w14:textId="77777777" w:rsidR="001D7F20" w:rsidRPr="00ED5AD0" w:rsidRDefault="001D7F20" w:rsidP="001D7F20">
      <w:pPr>
        <w:rPr>
          <w:rFonts w:cs="Arial"/>
          <w:color w:val="000000"/>
          <w:szCs w:val="24"/>
        </w:rPr>
      </w:pPr>
    </w:p>
    <w:p w14:paraId="013F2ED5" w14:textId="77777777" w:rsidR="001D7F20" w:rsidRPr="00ED5AD0" w:rsidRDefault="001D7F20" w:rsidP="001D7F20">
      <w:pPr>
        <w:rPr>
          <w:rFonts w:cs="Arial"/>
          <w:color w:val="000000"/>
          <w:szCs w:val="24"/>
        </w:rPr>
      </w:pPr>
      <w:r w:rsidRPr="00ED5AD0">
        <w:rPr>
          <w:rFonts w:cs="Arial"/>
          <w:color w:val="000000"/>
          <w:szCs w:val="24"/>
        </w:rPr>
        <w:t xml:space="preserve">Should the Chief Executive determine that performance is unsatisfactory, pay will remain at the bottom point of the pay grade </w:t>
      </w:r>
    </w:p>
    <w:p w14:paraId="6FF44DCF" w14:textId="77777777" w:rsidR="001D7F20" w:rsidRPr="00ED5AD0" w:rsidRDefault="001D7F20" w:rsidP="001D7F20">
      <w:pPr>
        <w:rPr>
          <w:rFonts w:cs="Arial"/>
          <w:color w:val="000000"/>
          <w:szCs w:val="24"/>
        </w:rPr>
      </w:pPr>
    </w:p>
    <w:p w14:paraId="0A59F364" w14:textId="77777777" w:rsidR="001D7F20" w:rsidRPr="00ED5AD0" w:rsidRDefault="001D7F20" w:rsidP="001D7F20">
      <w:pPr>
        <w:rPr>
          <w:rFonts w:cs="Arial"/>
          <w:color w:val="000000"/>
          <w:szCs w:val="24"/>
        </w:rPr>
      </w:pPr>
      <w:r w:rsidRPr="00ED5AD0">
        <w:rPr>
          <w:rFonts w:cs="Arial"/>
          <w:color w:val="000000"/>
          <w:szCs w:val="24"/>
        </w:rPr>
        <w:t xml:space="preserve">Payment of the top pay point of the grade to be determined annually by formal performance review conducted by the Chief Executive and following consultation with the Appointments and Conditions of Service Committee.  Subject to satisfactory performance, payment of the top pay point will be made through annual progression of service in post and, again subject to satisfactory performance, will remain there thereafter.  Should the Chief Executive determine that performance is unsatisfactory, pay will remain at, or be reduced to, the mid-point of the pay grade. </w:t>
      </w:r>
    </w:p>
    <w:p w14:paraId="37DB05A4" w14:textId="77777777" w:rsidR="001D7F20" w:rsidRPr="00ED5AD0" w:rsidRDefault="001D7F20" w:rsidP="001D7F20">
      <w:pPr>
        <w:rPr>
          <w:rFonts w:cs="Arial"/>
          <w:color w:val="000000"/>
          <w:szCs w:val="24"/>
        </w:rPr>
      </w:pPr>
    </w:p>
    <w:p w14:paraId="687434E6" w14:textId="77777777" w:rsidR="001D7F20" w:rsidRPr="00ED5AD0" w:rsidRDefault="001D7F20" w:rsidP="001D7F20">
      <w:pPr>
        <w:rPr>
          <w:rFonts w:cs="Arial"/>
          <w:color w:val="000000"/>
          <w:szCs w:val="24"/>
        </w:rPr>
      </w:pPr>
      <w:r w:rsidRPr="00ED5AD0">
        <w:rPr>
          <w:rFonts w:cs="Arial"/>
          <w:color w:val="000000"/>
          <w:szCs w:val="24"/>
        </w:rPr>
        <w:t>The detail of the performance review scheme is determined by the Chief Executive.</w:t>
      </w:r>
    </w:p>
    <w:p w14:paraId="4D1E50F8" w14:textId="77777777" w:rsidR="002D11FA" w:rsidRPr="00ED5AD0" w:rsidRDefault="002D11FA" w:rsidP="00DB62C7">
      <w:pPr>
        <w:ind w:left="426" w:right="283"/>
        <w:jc w:val="both"/>
      </w:pPr>
    </w:p>
    <w:p w14:paraId="1F1505C6" w14:textId="77777777" w:rsidR="0092436B" w:rsidRPr="00ED5AD0" w:rsidRDefault="0092436B">
      <w:r w:rsidRPr="00ED5AD0">
        <w:br w:type="page"/>
      </w:r>
    </w:p>
    <w:p w14:paraId="048B41F1" w14:textId="14FA5120" w:rsidR="0049013E" w:rsidRPr="00ED5AD0" w:rsidRDefault="0049013E" w:rsidP="0049013E">
      <w:pPr>
        <w:ind w:left="426" w:right="283"/>
        <w:jc w:val="right"/>
        <w:rPr>
          <w:b/>
          <w:bCs/>
        </w:rPr>
      </w:pPr>
      <w:r w:rsidRPr="00ED5AD0">
        <w:rPr>
          <w:b/>
          <w:bCs/>
        </w:rPr>
        <w:lastRenderedPageBreak/>
        <w:t xml:space="preserve">Appendix </w:t>
      </w:r>
      <w:r w:rsidR="002C1FCB" w:rsidRPr="00ED5AD0">
        <w:rPr>
          <w:b/>
          <w:bCs/>
        </w:rPr>
        <w:t>I</w:t>
      </w:r>
    </w:p>
    <w:p w14:paraId="6D6D7930" w14:textId="77777777" w:rsidR="0092436B" w:rsidRPr="00ED5AD0" w:rsidRDefault="0092436B" w:rsidP="0049013E">
      <w:pPr>
        <w:ind w:left="426" w:right="283"/>
        <w:jc w:val="right"/>
      </w:pPr>
    </w:p>
    <w:p w14:paraId="1BCF20F3" w14:textId="77777777" w:rsidR="0049013E" w:rsidRPr="00ED5AD0" w:rsidRDefault="0049013E" w:rsidP="0049013E">
      <w:pPr>
        <w:ind w:left="426"/>
        <w:rPr>
          <w:b/>
          <w:sz w:val="28"/>
          <w:szCs w:val="28"/>
        </w:rPr>
      </w:pPr>
      <w:r w:rsidRPr="00ED5AD0">
        <w:rPr>
          <w:b/>
          <w:sz w:val="28"/>
          <w:szCs w:val="28"/>
        </w:rPr>
        <w:t xml:space="preserve">Pay and </w:t>
      </w:r>
      <w:r w:rsidR="007E7112" w:rsidRPr="00ED5AD0">
        <w:rPr>
          <w:b/>
          <w:sz w:val="28"/>
          <w:szCs w:val="28"/>
        </w:rPr>
        <w:t>p</w:t>
      </w:r>
      <w:r w:rsidRPr="00ED5AD0">
        <w:rPr>
          <w:b/>
          <w:sz w:val="28"/>
          <w:szCs w:val="28"/>
        </w:rPr>
        <w:t xml:space="preserve">erformance </w:t>
      </w:r>
      <w:r w:rsidR="007E7112" w:rsidRPr="00ED5AD0">
        <w:rPr>
          <w:b/>
          <w:sz w:val="28"/>
          <w:szCs w:val="28"/>
        </w:rPr>
        <w:t>p</w:t>
      </w:r>
      <w:r w:rsidRPr="00ED5AD0">
        <w:rPr>
          <w:b/>
          <w:sz w:val="28"/>
          <w:szCs w:val="28"/>
        </w:rPr>
        <w:t>olicy</w:t>
      </w:r>
      <w:r w:rsidR="007E7112" w:rsidRPr="00ED5AD0">
        <w:rPr>
          <w:b/>
          <w:sz w:val="28"/>
          <w:szCs w:val="28"/>
        </w:rPr>
        <w:t xml:space="preserve"> governing the Chief Executive’s pay</w:t>
      </w:r>
    </w:p>
    <w:p w14:paraId="742FBD27" w14:textId="77777777" w:rsidR="0049013E" w:rsidRPr="00ED5AD0" w:rsidRDefault="0049013E" w:rsidP="0049013E">
      <w:pPr>
        <w:ind w:left="426"/>
        <w:rPr>
          <w:b/>
          <w:szCs w:val="24"/>
        </w:rPr>
      </w:pPr>
    </w:p>
    <w:p w14:paraId="667867D1" w14:textId="77777777" w:rsidR="0049013E" w:rsidRPr="00ED5AD0" w:rsidRDefault="0049013E" w:rsidP="0049013E">
      <w:pPr>
        <w:ind w:left="426"/>
      </w:pPr>
    </w:p>
    <w:p w14:paraId="3433B76F" w14:textId="77777777" w:rsidR="0049013E" w:rsidRPr="00ED5AD0" w:rsidRDefault="0049013E" w:rsidP="0049013E">
      <w:pPr>
        <w:ind w:left="426"/>
        <w:rPr>
          <w:rFonts w:eastAsia="Calibri"/>
          <w:b/>
          <w:szCs w:val="22"/>
        </w:rPr>
      </w:pPr>
      <w:r w:rsidRPr="00ED5AD0">
        <w:rPr>
          <w:rFonts w:eastAsia="Calibri"/>
          <w:b/>
          <w:szCs w:val="22"/>
        </w:rPr>
        <w:t>1. General principles</w:t>
      </w:r>
    </w:p>
    <w:p w14:paraId="3F10F67D" w14:textId="77777777" w:rsidR="0049013E" w:rsidRPr="00ED5AD0" w:rsidRDefault="0049013E" w:rsidP="0049013E">
      <w:pPr>
        <w:ind w:left="426"/>
        <w:rPr>
          <w:rFonts w:eastAsia="Calibri"/>
          <w:szCs w:val="22"/>
        </w:rPr>
      </w:pPr>
      <w:r w:rsidRPr="00ED5AD0">
        <w:rPr>
          <w:rFonts w:eastAsia="Calibri"/>
          <w:szCs w:val="22"/>
        </w:rPr>
        <w:t xml:space="preserve">Appointment to the post of Chief Executive will be within the local pay scale determined by the Appointments and Conditions of Service Committee (ACSC). The pay scale of the Chief Executive stands alone and is not linked to pay rates of other posts within the Council. </w:t>
      </w:r>
    </w:p>
    <w:p w14:paraId="08CCF919" w14:textId="77777777" w:rsidR="0049013E" w:rsidRPr="00ED5AD0" w:rsidRDefault="0049013E" w:rsidP="0049013E">
      <w:pPr>
        <w:ind w:left="426"/>
        <w:rPr>
          <w:rFonts w:eastAsia="Calibri"/>
          <w:szCs w:val="22"/>
        </w:rPr>
      </w:pPr>
    </w:p>
    <w:p w14:paraId="3A7CE5D6" w14:textId="77777777" w:rsidR="0049013E" w:rsidRPr="00ED5AD0" w:rsidRDefault="0049013E" w:rsidP="0049013E">
      <w:pPr>
        <w:ind w:left="426"/>
        <w:rPr>
          <w:rFonts w:eastAsia="Calibri"/>
          <w:szCs w:val="22"/>
        </w:rPr>
      </w:pPr>
      <w:r w:rsidRPr="00ED5AD0">
        <w:rPr>
          <w:rFonts w:eastAsia="Calibri"/>
          <w:szCs w:val="22"/>
        </w:rPr>
        <w:t xml:space="preserve">The ACSC will determine to which point within the scale the appointment will be made </w:t>
      </w:r>
      <w:proofErr w:type="gramStart"/>
      <w:r w:rsidRPr="00ED5AD0">
        <w:rPr>
          <w:rFonts w:eastAsia="Calibri"/>
          <w:szCs w:val="22"/>
        </w:rPr>
        <w:t>taking into account</w:t>
      </w:r>
      <w:proofErr w:type="gramEnd"/>
      <w:r w:rsidRPr="00ED5AD0">
        <w:rPr>
          <w:rFonts w:eastAsia="Calibri"/>
          <w:szCs w:val="22"/>
        </w:rPr>
        <w:t xml:space="preserve"> appropriate experience and skill set. </w:t>
      </w:r>
    </w:p>
    <w:p w14:paraId="648A0D98" w14:textId="77777777" w:rsidR="0049013E" w:rsidRPr="00ED5AD0" w:rsidRDefault="0049013E" w:rsidP="0049013E">
      <w:pPr>
        <w:ind w:left="426"/>
        <w:rPr>
          <w:rFonts w:eastAsia="Calibri"/>
          <w:szCs w:val="22"/>
        </w:rPr>
      </w:pPr>
    </w:p>
    <w:p w14:paraId="1F386BAB" w14:textId="77777777" w:rsidR="0049013E" w:rsidRPr="00ED5AD0" w:rsidRDefault="0049013E" w:rsidP="0049013E">
      <w:pPr>
        <w:ind w:left="426"/>
        <w:rPr>
          <w:rFonts w:eastAsia="Calibri"/>
          <w:b/>
          <w:szCs w:val="22"/>
        </w:rPr>
      </w:pPr>
      <w:r w:rsidRPr="00ED5AD0">
        <w:rPr>
          <w:rFonts w:eastAsia="Calibri"/>
          <w:b/>
          <w:szCs w:val="22"/>
        </w:rPr>
        <w:t>2. Progression and payment within scale</w:t>
      </w:r>
    </w:p>
    <w:p w14:paraId="528744BB" w14:textId="77777777" w:rsidR="0049013E" w:rsidRPr="00ED5AD0" w:rsidRDefault="0049013E" w:rsidP="0049013E">
      <w:pPr>
        <w:ind w:left="426"/>
        <w:rPr>
          <w:rFonts w:eastAsia="Calibri"/>
          <w:szCs w:val="22"/>
        </w:rPr>
      </w:pPr>
      <w:r w:rsidRPr="00ED5AD0">
        <w:rPr>
          <w:rFonts w:eastAsia="Calibri"/>
          <w:szCs w:val="22"/>
        </w:rPr>
        <w:t>A formal performance and pay review will be conducted annually prior to the anniversary of appointment.</w:t>
      </w:r>
    </w:p>
    <w:p w14:paraId="2A6489F5" w14:textId="77777777" w:rsidR="0049013E" w:rsidRPr="00ED5AD0" w:rsidRDefault="0049013E" w:rsidP="0049013E">
      <w:pPr>
        <w:ind w:left="426"/>
        <w:rPr>
          <w:rFonts w:eastAsia="Calibri"/>
          <w:szCs w:val="22"/>
        </w:rPr>
      </w:pPr>
    </w:p>
    <w:p w14:paraId="6E0D558A" w14:textId="77777777" w:rsidR="0049013E" w:rsidRPr="00ED5AD0" w:rsidRDefault="0049013E" w:rsidP="0049013E">
      <w:pPr>
        <w:ind w:left="426"/>
        <w:rPr>
          <w:rFonts w:eastAsia="Calibri"/>
          <w:szCs w:val="22"/>
        </w:rPr>
      </w:pPr>
      <w:r w:rsidRPr="00ED5AD0">
        <w:rPr>
          <w:rFonts w:eastAsia="Calibri"/>
          <w:szCs w:val="22"/>
        </w:rPr>
        <w:t xml:space="preserve">The performance and pay review will be conducted by the ACSC. </w:t>
      </w:r>
    </w:p>
    <w:p w14:paraId="109791A9" w14:textId="77777777" w:rsidR="0049013E" w:rsidRPr="00ED5AD0" w:rsidRDefault="0049013E" w:rsidP="0049013E">
      <w:pPr>
        <w:ind w:left="426"/>
        <w:rPr>
          <w:rFonts w:eastAsia="Calibri"/>
          <w:szCs w:val="22"/>
        </w:rPr>
      </w:pPr>
    </w:p>
    <w:p w14:paraId="21BBC40F" w14:textId="77777777" w:rsidR="0049013E" w:rsidRPr="00ED5AD0" w:rsidRDefault="0049013E" w:rsidP="0049013E">
      <w:pPr>
        <w:ind w:left="426"/>
        <w:rPr>
          <w:rFonts w:eastAsia="Calibri"/>
          <w:szCs w:val="22"/>
        </w:rPr>
      </w:pPr>
      <w:r w:rsidRPr="00ED5AD0">
        <w:rPr>
          <w:rFonts w:eastAsia="Calibri"/>
          <w:szCs w:val="22"/>
        </w:rPr>
        <w:t>Should the ACSC determine that performance meets or exceeds the expected standards then annual progression of pay will be applied until the top pay point of the scale is reached. Once the top pay point is reached pay will remain at this level whilst performance continues to meet or exceed expected standards.</w:t>
      </w:r>
    </w:p>
    <w:p w14:paraId="3B5D27C0" w14:textId="77777777" w:rsidR="0049013E" w:rsidRPr="00ED5AD0" w:rsidRDefault="0049013E" w:rsidP="0049013E">
      <w:pPr>
        <w:ind w:left="426"/>
        <w:rPr>
          <w:rFonts w:eastAsia="Calibri"/>
          <w:szCs w:val="22"/>
        </w:rPr>
      </w:pPr>
    </w:p>
    <w:p w14:paraId="7FCAC258" w14:textId="77777777" w:rsidR="0049013E" w:rsidRPr="00ED5AD0" w:rsidRDefault="0049013E" w:rsidP="0049013E">
      <w:pPr>
        <w:ind w:left="426"/>
        <w:rPr>
          <w:rFonts w:eastAsia="Calibri"/>
          <w:szCs w:val="22"/>
        </w:rPr>
      </w:pPr>
      <w:r w:rsidRPr="00ED5AD0">
        <w:rPr>
          <w:rFonts w:eastAsia="Calibri"/>
          <w:szCs w:val="22"/>
        </w:rPr>
        <w:t>Should the ACSC determine that performance is unsatisfactory then consideration will be given to applying the following process relating to pay:</w:t>
      </w:r>
    </w:p>
    <w:p w14:paraId="208EA2C1" w14:textId="77777777" w:rsidR="0049013E" w:rsidRPr="00ED5AD0" w:rsidRDefault="0049013E" w:rsidP="0049013E">
      <w:pPr>
        <w:ind w:left="426" w:hanging="141"/>
        <w:rPr>
          <w:rFonts w:eastAsia="Calibri"/>
          <w:szCs w:val="22"/>
        </w:rPr>
      </w:pPr>
      <w:r w:rsidRPr="00ED5AD0">
        <w:rPr>
          <w:rFonts w:eastAsia="Calibri"/>
          <w:szCs w:val="22"/>
        </w:rPr>
        <w:t xml:space="preserve">- if the post holder is at the bottom or middle point of the pay scale at the time of the review then there will be no progression to the next pay point until a future review by the ACSC confirms satisfactory performance. This review will normally take place a year later although the ACSC may choose to conduct an interim review at an earlier date if this is appropriate. </w:t>
      </w:r>
    </w:p>
    <w:p w14:paraId="1B069876" w14:textId="77777777" w:rsidR="0049013E" w:rsidRPr="00ED5AD0" w:rsidRDefault="0049013E" w:rsidP="0049013E">
      <w:pPr>
        <w:ind w:left="426" w:hanging="141"/>
        <w:rPr>
          <w:rFonts w:eastAsia="Calibri"/>
          <w:szCs w:val="22"/>
        </w:rPr>
      </w:pPr>
    </w:p>
    <w:p w14:paraId="6713B23E" w14:textId="77777777" w:rsidR="0049013E" w:rsidRPr="00ED5AD0" w:rsidRDefault="0049013E" w:rsidP="0049013E">
      <w:pPr>
        <w:ind w:left="426" w:hanging="141"/>
        <w:rPr>
          <w:rFonts w:eastAsia="Calibri"/>
          <w:szCs w:val="22"/>
        </w:rPr>
      </w:pPr>
      <w:r w:rsidRPr="00ED5AD0">
        <w:rPr>
          <w:rFonts w:eastAsia="Calibri"/>
          <w:szCs w:val="22"/>
        </w:rPr>
        <w:t xml:space="preserve">- if the post holder is at the top point of the pay scale at the time of the </w:t>
      </w:r>
      <w:proofErr w:type="gramStart"/>
      <w:r w:rsidRPr="00ED5AD0">
        <w:rPr>
          <w:rFonts w:eastAsia="Calibri"/>
          <w:szCs w:val="22"/>
        </w:rPr>
        <w:t>review</w:t>
      </w:r>
      <w:proofErr w:type="gramEnd"/>
      <w:r w:rsidRPr="00ED5AD0">
        <w:rPr>
          <w:rFonts w:eastAsia="Calibri"/>
          <w:szCs w:val="22"/>
        </w:rPr>
        <w:t xml:space="preserve"> then from the anniversary of the appointment date pay will be reduced to the middle point of the pay scale and held at that point until satisfactory performance is confirmed through a future review which will be undertaken as described above. </w:t>
      </w:r>
    </w:p>
    <w:p w14:paraId="79A9EA62" w14:textId="77777777" w:rsidR="0049013E" w:rsidRPr="00ED5AD0" w:rsidRDefault="0049013E" w:rsidP="0049013E">
      <w:pPr>
        <w:ind w:left="426"/>
        <w:rPr>
          <w:rFonts w:eastAsia="Calibri"/>
          <w:szCs w:val="22"/>
        </w:rPr>
      </w:pPr>
    </w:p>
    <w:p w14:paraId="0691A718" w14:textId="77777777" w:rsidR="0049013E" w:rsidRPr="00ED5AD0" w:rsidRDefault="0049013E" w:rsidP="0049013E">
      <w:pPr>
        <w:ind w:left="426"/>
        <w:rPr>
          <w:rFonts w:eastAsia="Calibri"/>
          <w:szCs w:val="22"/>
        </w:rPr>
      </w:pPr>
    </w:p>
    <w:p w14:paraId="1CC3F001" w14:textId="77777777" w:rsidR="0049013E" w:rsidRPr="00ED5AD0" w:rsidRDefault="0049013E" w:rsidP="0049013E">
      <w:pPr>
        <w:ind w:left="426"/>
        <w:rPr>
          <w:rFonts w:eastAsia="Calibri"/>
          <w:b/>
          <w:szCs w:val="22"/>
        </w:rPr>
      </w:pPr>
      <w:r w:rsidRPr="00ED5AD0">
        <w:rPr>
          <w:rFonts w:eastAsia="Calibri"/>
          <w:b/>
          <w:szCs w:val="22"/>
        </w:rPr>
        <w:t>3. Assessment of performance and feedback</w:t>
      </w:r>
    </w:p>
    <w:p w14:paraId="23DB1741" w14:textId="77777777" w:rsidR="0049013E" w:rsidRPr="00ED5AD0" w:rsidRDefault="0049013E" w:rsidP="0049013E">
      <w:pPr>
        <w:ind w:left="426"/>
        <w:rPr>
          <w:rFonts w:eastAsia="Calibri"/>
          <w:szCs w:val="22"/>
        </w:rPr>
      </w:pPr>
    </w:p>
    <w:p w14:paraId="2717D7A1" w14:textId="77777777" w:rsidR="0049013E" w:rsidRPr="00ED5AD0" w:rsidRDefault="0049013E" w:rsidP="0049013E">
      <w:pPr>
        <w:ind w:left="426"/>
        <w:rPr>
          <w:rFonts w:eastAsia="Calibri"/>
          <w:b/>
          <w:szCs w:val="22"/>
        </w:rPr>
      </w:pPr>
      <w:r w:rsidRPr="00ED5AD0">
        <w:rPr>
          <w:rFonts w:eastAsia="Calibri"/>
          <w:b/>
          <w:szCs w:val="22"/>
        </w:rPr>
        <w:t>3.1 Assessment by ACSC</w:t>
      </w:r>
    </w:p>
    <w:p w14:paraId="58B80C1C" w14:textId="77777777" w:rsidR="0049013E" w:rsidRPr="00ED5AD0" w:rsidRDefault="0049013E" w:rsidP="0049013E">
      <w:pPr>
        <w:ind w:left="426"/>
        <w:rPr>
          <w:rFonts w:eastAsia="Calibri"/>
          <w:szCs w:val="22"/>
        </w:rPr>
      </w:pPr>
      <w:r w:rsidRPr="00ED5AD0">
        <w:rPr>
          <w:rFonts w:eastAsia="Calibri"/>
          <w:szCs w:val="22"/>
        </w:rPr>
        <w:t xml:space="preserve">The annual performance assessment will be undertaken each year by the ACSC. There will be no officer input in the assessment discussion. </w:t>
      </w:r>
    </w:p>
    <w:p w14:paraId="27B57919" w14:textId="77777777" w:rsidR="0049013E" w:rsidRPr="00ED5AD0" w:rsidRDefault="0049013E" w:rsidP="0049013E">
      <w:pPr>
        <w:ind w:left="426"/>
        <w:rPr>
          <w:rFonts w:eastAsia="Calibri"/>
          <w:szCs w:val="22"/>
        </w:rPr>
      </w:pPr>
    </w:p>
    <w:p w14:paraId="77F36F46" w14:textId="77777777" w:rsidR="0049013E" w:rsidRPr="00ED5AD0" w:rsidRDefault="0049013E" w:rsidP="0049013E">
      <w:pPr>
        <w:ind w:left="426"/>
        <w:rPr>
          <w:rFonts w:eastAsia="Calibri"/>
          <w:szCs w:val="22"/>
        </w:rPr>
      </w:pPr>
      <w:r w:rsidRPr="00ED5AD0">
        <w:rPr>
          <w:rFonts w:eastAsia="Calibri"/>
          <w:szCs w:val="22"/>
        </w:rPr>
        <w:t xml:space="preserve">The assessment will be made by the committee against </w:t>
      </w:r>
      <w:proofErr w:type="gramStart"/>
      <w:r w:rsidRPr="00ED5AD0">
        <w:rPr>
          <w:rFonts w:eastAsia="Calibri"/>
          <w:szCs w:val="22"/>
        </w:rPr>
        <w:t>a number of</w:t>
      </w:r>
      <w:proofErr w:type="gramEnd"/>
      <w:r w:rsidRPr="00ED5AD0">
        <w:rPr>
          <w:rFonts w:eastAsia="Calibri"/>
          <w:szCs w:val="22"/>
        </w:rPr>
        <w:t xml:space="preserve"> criteria and the Chief Executive’s performance against each criterion will be assessed as being below expectation/ meeting expectation/ exceeding expectation. </w:t>
      </w:r>
    </w:p>
    <w:p w14:paraId="5100BD4D" w14:textId="77777777" w:rsidR="0049013E" w:rsidRPr="00ED5AD0" w:rsidRDefault="0049013E" w:rsidP="0049013E">
      <w:pPr>
        <w:ind w:left="426"/>
        <w:rPr>
          <w:rFonts w:eastAsia="Calibri"/>
          <w:szCs w:val="22"/>
        </w:rPr>
      </w:pPr>
    </w:p>
    <w:p w14:paraId="246B09F7" w14:textId="77777777" w:rsidR="0049013E" w:rsidRPr="00ED5AD0" w:rsidRDefault="0049013E" w:rsidP="0049013E">
      <w:pPr>
        <w:ind w:left="426"/>
        <w:rPr>
          <w:rFonts w:eastAsia="Calibri"/>
          <w:szCs w:val="22"/>
        </w:rPr>
      </w:pPr>
      <w:r w:rsidRPr="00ED5AD0">
        <w:rPr>
          <w:rFonts w:eastAsia="Calibri"/>
          <w:szCs w:val="22"/>
        </w:rPr>
        <w:lastRenderedPageBreak/>
        <w:t xml:space="preserve">As a majority committee view, if performance against each criterion is assessed as meeting or exceeding expectation then pay progression (or maintenance of the top pay point in the scale) will be applied from the anniversary date of appointment for another year.  If performance against any of the criteria is assessed by the ACSC as being below </w:t>
      </w:r>
      <w:proofErr w:type="gramStart"/>
      <w:r w:rsidRPr="00ED5AD0">
        <w:rPr>
          <w:rFonts w:eastAsia="Calibri"/>
          <w:szCs w:val="22"/>
        </w:rPr>
        <w:t>expectation</w:t>
      </w:r>
      <w:proofErr w:type="gramEnd"/>
      <w:r w:rsidRPr="00ED5AD0">
        <w:rPr>
          <w:rFonts w:eastAsia="Calibri"/>
          <w:szCs w:val="22"/>
        </w:rPr>
        <w:t xml:space="preserve"> then consideration will be given to the freezing of pay at the current pay point or reduced from the top pay point and frozen at the middle pay point as described above. </w:t>
      </w:r>
    </w:p>
    <w:p w14:paraId="396A1E26" w14:textId="77777777" w:rsidR="0049013E" w:rsidRPr="00ED5AD0" w:rsidRDefault="0049013E" w:rsidP="0049013E">
      <w:pPr>
        <w:ind w:left="426"/>
        <w:rPr>
          <w:rFonts w:eastAsia="Calibri"/>
          <w:szCs w:val="22"/>
        </w:rPr>
      </w:pPr>
    </w:p>
    <w:p w14:paraId="37137458" w14:textId="77777777" w:rsidR="0049013E" w:rsidRPr="00ED5AD0" w:rsidRDefault="0049013E" w:rsidP="0049013E">
      <w:pPr>
        <w:ind w:left="426"/>
        <w:rPr>
          <w:rFonts w:eastAsia="Calibri"/>
          <w:szCs w:val="22"/>
        </w:rPr>
      </w:pPr>
      <w:r w:rsidRPr="00ED5AD0">
        <w:rPr>
          <w:rFonts w:eastAsia="Calibri"/>
          <w:szCs w:val="22"/>
        </w:rPr>
        <w:t xml:space="preserve">If the ACSC determines that performance is below that which is expected then other improvement measures may be applied including formal capability procedures that would mirror in appropriate ways, the general process applied to NJC staff and as described in the Employee Handbook. Before applying such </w:t>
      </w:r>
      <w:proofErr w:type="gramStart"/>
      <w:r w:rsidRPr="00ED5AD0">
        <w:rPr>
          <w:rFonts w:eastAsia="Calibri"/>
          <w:szCs w:val="22"/>
        </w:rPr>
        <w:t>process</w:t>
      </w:r>
      <w:proofErr w:type="gramEnd"/>
      <w:r w:rsidRPr="00ED5AD0">
        <w:rPr>
          <w:rFonts w:eastAsia="Calibri"/>
          <w:szCs w:val="22"/>
        </w:rPr>
        <w:t xml:space="preserve"> the ACSC will take appropriate advice from the Monitoring Officer (or Deputy) and the </w:t>
      </w:r>
      <w:r w:rsidR="00EA654F" w:rsidRPr="00ED5AD0">
        <w:rPr>
          <w:rFonts w:eastAsia="Calibri"/>
          <w:szCs w:val="22"/>
        </w:rPr>
        <w:t>Head of Service</w:t>
      </w:r>
      <w:r w:rsidRPr="00ED5AD0">
        <w:rPr>
          <w:rFonts w:eastAsia="Calibri"/>
          <w:szCs w:val="22"/>
        </w:rPr>
        <w:t xml:space="preserve"> responsible for HR.</w:t>
      </w:r>
    </w:p>
    <w:p w14:paraId="006313F6" w14:textId="77777777" w:rsidR="0049013E" w:rsidRPr="00ED5AD0" w:rsidRDefault="0049013E" w:rsidP="0049013E">
      <w:pPr>
        <w:ind w:left="426"/>
        <w:rPr>
          <w:rFonts w:eastAsia="Calibri"/>
          <w:szCs w:val="22"/>
        </w:rPr>
      </w:pPr>
    </w:p>
    <w:p w14:paraId="74017C7C" w14:textId="77777777" w:rsidR="0049013E" w:rsidRPr="00ED5AD0" w:rsidRDefault="0049013E" w:rsidP="0049013E">
      <w:pPr>
        <w:ind w:left="426"/>
        <w:rPr>
          <w:rFonts w:eastAsia="Calibri"/>
          <w:szCs w:val="22"/>
        </w:rPr>
      </w:pPr>
      <w:r w:rsidRPr="00ED5AD0">
        <w:rPr>
          <w:rFonts w:eastAsia="Calibri"/>
          <w:szCs w:val="22"/>
        </w:rPr>
        <w:t>The ACSC will consider the Chief Executive’s performance against this list of criteria:</w:t>
      </w:r>
    </w:p>
    <w:p w14:paraId="7811A31F" w14:textId="77777777" w:rsidR="0049013E" w:rsidRPr="00ED5AD0" w:rsidRDefault="0049013E" w:rsidP="0049013E">
      <w:pPr>
        <w:ind w:left="426"/>
        <w:rPr>
          <w:rFonts w:eastAsia="Calibri"/>
          <w:szCs w:val="22"/>
        </w:rPr>
      </w:pPr>
    </w:p>
    <w:p w14:paraId="57ABD113" w14:textId="77777777" w:rsidR="0049013E" w:rsidRPr="00ED5AD0" w:rsidRDefault="0049013E" w:rsidP="0049013E">
      <w:pPr>
        <w:spacing w:after="120"/>
        <w:ind w:left="426" w:hanging="142"/>
        <w:rPr>
          <w:rFonts w:eastAsia="Calibri"/>
          <w:szCs w:val="22"/>
        </w:rPr>
      </w:pPr>
      <w:r w:rsidRPr="00ED5AD0">
        <w:rPr>
          <w:rFonts w:eastAsia="Calibri"/>
          <w:szCs w:val="22"/>
        </w:rPr>
        <w:t xml:space="preserve">- The leadership and management of the Council to achieve high standards of service and performance. </w:t>
      </w:r>
    </w:p>
    <w:p w14:paraId="7580A6A2" w14:textId="77777777" w:rsidR="0049013E" w:rsidRPr="00ED5AD0" w:rsidRDefault="0049013E" w:rsidP="0049013E">
      <w:pPr>
        <w:spacing w:after="120"/>
        <w:ind w:left="426" w:hanging="142"/>
        <w:rPr>
          <w:rFonts w:eastAsia="Calibri"/>
          <w:szCs w:val="22"/>
        </w:rPr>
      </w:pPr>
      <w:r w:rsidRPr="00ED5AD0">
        <w:rPr>
          <w:rFonts w:eastAsia="Calibri"/>
          <w:szCs w:val="22"/>
        </w:rPr>
        <w:t>- To provide the necessary support to enable Elected Members to effectively carry out their role.</w:t>
      </w:r>
    </w:p>
    <w:p w14:paraId="638581CC" w14:textId="77777777" w:rsidR="0049013E" w:rsidRPr="00ED5AD0" w:rsidRDefault="0049013E" w:rsidP="0049013E">
      <w:pPr>
        <w:spacing w:after="120"/>
        <w:ind w:left="426" w:hanging="142"/>
        <w:rPr>
          <w:rFonts w:eastAsia="Calibri"/>
          <w:szCs w:val="22"/>
        </w:rPr>
      </w:pPr>
      <w:r w:rsidRPr="00ED5AD0">
        <w:rPr>
          <w:rFonts w:eastAsia="Calibri"/>
          <w:szCs w:val="22"/>
        </w:rPr>
        <w:t>- To ensure effective and timely communication and advice is offered to Group Leaders on key matters.</w:t>
      </w:r>
    </w:p>
    <w:p w14:paraId="13D14D26" w14:textId="77777777" w:rsidR="0049013E" w:rsidRPr="00ED5AD0" w:rsidRDefault="0049013E" w:rsidP="0049013E">
      <w:pPr>
        <w:spacing w:after="120"/>
        <w:ind w:left="426" w:hanging="142"/>
        <w:rPr>
          <w:rFonts w:eastAsia="Calibri"/>
          <w:szCs w:val="22"/>
        </w:rPr>
      </w:pPr>
      <w:r w:rsidRPr="00ED5AD0">
        <w:rPr>
          <w:rFonts w:eastAsia="Calibri"/>
          <w:szCs w:val="22"/>
        </w:rPr>
        <w:t>- To effectively manage the interface between Elected Members and Senior Officers.</w:t>
      </w:r>
    </w:p>
    <w:p w14:paraId="5F895CB5" w14:textId="77777777" w:rsidR="0049013E" w:rsidRPr="00ED5AD0" w:rsidRDefault="0049013E" w:rsidP="0049013E">
      <w:pPr>
        <w:spacing w:after="120"/>
        <w:ind w:left="426" w:hanging="142"/>
        <w:rPr>
          <w:rFonts w:eastAsia="Calibri"/>
          <w:szCs w:val="22"/>
        </w:rPr>
      </w:pPr>
      <w:r w:rsidRPr="00ED5AD0">
        <w:rPr>
          <w:rFonts w:eastAsia="Calibri"/>
          <w:szCs w:val="22"/>
        </w:rPr>
        <w:t>- The development and maintenance of effective partnerships for the benefit of borough residents.</w:t>
      </w:r>
    </w:p>
    <w:p w14:paraId="33B6648C" w14:textId="77777777" w:rsidR="0049013E" w:rsidRPr="00ED5AD0" w:rsidRDefault="0049013E" w:rsidP="0049013E">
      <w:pPr>
        <w:spacing w:after="120"/>
        <w:ind w:left="426" w:hanging="142"/>
        <w:rPr>
          <w:rFonts w:eastAsia="Calibri"/>
          <w:szCs w:val="22"/>
        </w:rPr>
      </w:pPr>
      <w:r w:rsidRPr="00ED5AD0">
        <w:rPr>
          <w:rFonts w:eastAsia="Calibri"/>
          <w:szCs w:val="22"/>
        </w:rPr>
        <w:t xml:space="preserve">- To guide and bring forward policy development to ensure the delivery of the Council’s vision and priorities. </w:t>
      </w:r>
    </w:p>
    <w:p w14:paraId="773C0BB3" w14:textId="77777777" w:rsidR="0049013E" w:rsidRPr="00ED5AD0" w:rsidRDefault="0049013E" w:rsidP="0049013E">
      <w:pPr>
        <w:spacing w:after="120"/>
        <w:ind w:left="426" w:hanging="142"/>
        <w:rPr>
          <w:rFonts w:eastAsia="Calibri"/>
          <w:szCs w:val="22"/>
        </w:rPr>
      </w:pPr>
      <w:r w:rsidRPr="00ED5AD0">
        <w:rPr>
          <w:rFonts w:eastAsia="Calibri"/>
          <w:szCs w:val="22"/>
        </w:rPr>
        <w:t>- To support Elected Members to engender an appropriate workplace culture that is reflected across the organisation.</w:t>
      </w:r>
    </w:p>
    <w:p w14:paraId="5599BEBF" w14:textId="77777777" w:rsidR="0049013E" w:rsidRPr="00ED5AD0" w:rsidRDefault="0049013E" w:rsidP="0049013E">
      <w:pPr>
        <w:spacing w:after="120"/>
        <w:ind w:left="426" w:hanging="142"/>
        <w:rPr>
          <w:rFonts w:eastAsia="Calibri"/>
          <w:szCs w:val="22"/>
        </w:rPr>
      </w:pPr>
      <w:r w:rsidRPr="00ED5AD0">
        <w:rPr>
          <w:rFonts w:eastAsia="Calibri"/>
          <w:szCs w:val="22"/>
        </w:rPr>
        <w:t>- The provision of sound electoral process and practice.</w:t>
      </w:r>
    </w:p>
    <w:p w14:paraId="063794CF" w14:textId="77777777" w:rsidR="0049013E" w:rsidRPr="00ED5AD0" w:rsidRDefault="0049013E" w:rsidP="0049013E">
      <w:pPr>
        <w:spacing w:after="120"/>
        <w:ind w:left="426" w:hanging="142"/>
        <w:rPr>
          <w:rFonts w:eastAsia="Calibri"/>
          <w:szCs w:val="22"/>
        </w:rPr>
      </w:pPr>
      <w:r w:rsidRPr="00ED5AD0">
        <w:rPr>
          <w:rFonts w:eastAsia="Calibri"/>
          <w:szCs w:val="22"/>
        </w:rPr>
        <w:t>- How effectively the Council’s services have been delivered within budget and as described within the Gedling Plan.</w:t>
      </w:r>
    </w:p>
    <w:p w14:paraId="1D548080" w14:textId="77777777" w:rsidR="0049013E" w:rsidRPr="00ED5AD0" w:rsidRDefault="0049013E" w:rsidP="0049013E">
      <w:pPr>
        <w:ind w:left="426" w:hanging="139"/>
        <w:rPr>
          <w:rFonts w:eastAsia="Calibri"/>
          <w:szCs w:val="22"/>
        </w:rPr>
      </w:pPr>
    </w:p>
    <w:p w14:paraId="4DD263EC" w14:textId="535857E4" w:rsidR="0049013E" w:rsidRPr="00ED5AD0" w:rsidRDefault="0049013E" w:rsidP="0049013E">
      <w:pPr>
        <w:ind w:left="426"/>
        <w:rPr>
          <w:rFonts w:eastAsia="Calibri"/>
          <w:szCs w:val="22"/>
        </w:rPr>
      </w:pPr>
      <w:r w:rsidRPr="00ED5AD0">
        <w:rPr>
          <w:rFonts w:eastAsia="Calibri"/>
          <w:szCs w:val="22"/>
        </w:rPr>
        <w:t>These criteria will be assessed by the ACSC as a whole and a majority view reached. In addition to the assessment of these criteria, the committee will also identify expectations for the delivery of key objectives or tasks during the following year to which it wishes to draw particular attention, together with any development needs that are perceived for the Chief Executive.  A simple form (</w:t>
      </w:r>
      <w:r w:rsidR="00EF250A" w:rsidRPr="00ED5AD0">
        <w:rPr>
          <w:rFonts w:eastAsia="Calibri"/>
          <w:b/>
          <w:bCs/>
          <w:szCs w:val="22"/>
        </w:rPr>
        <w:t>A</w:t>
      </w:r>
      <w:r w:rsidRPr="00ED5AD0">
        <w:rPr>
          <w:rFonts w:eastAsia="Calibri"/>
          <w:b/>
          <w:bCs/>
          <w:szCs w:val="22"/>
        </w:rPr>
        <w:t xml:space="preserve">ppendix </w:t>
      </w:r>
      <w:r w:rsidR="00EF250A" w:rsidRPr="00ED5AD0">
        <w:rPr>
          <w:rFonts w:eastAsia="Calibri"/>
          <w:b/>
          <w:bCs/>
          <w:szCs w:val="22"/>
        </w:rPr>
        <w:t>I(</w:t>
      </w:r>
      <w:proofErr w:type="spellStart"/>
      <w:r w:rsidR="00EF250A" w:rsidRPr="00ED5AD0">
        <w:rPr>
          <w:rFonts w:eastAsia="Calibri"/>
          <w:b/>
          <w:bCs/>
          <w:szCs w:val="22"/>
        </w:rPr>
        <w:t>i</w:t>
      </w:r>
      <w:proofErr w:type="spellEnd"/>
      <w:r w:rsidR="00EF250A" w:rsidRPr="00ED5AD0">
        <w:rPr>
          <w:rFonts w:eastAsia="Calibri"/>
          <w:b/>
          <w:bCs/>
          <w:szCs w:val="22"/>
        </w:rPr>
        <w:t>)</w:t>
      </w:r>
      <w:r w:rsidRPr="00ED5AD0">
        <w:rPr>
          <w:rFonts w:eastAsia="Calibri"/>
          <w:szCs w:val="22"/>
        </w:rPr>
        <w:t xml:space="preserve"> will be used to summarise the committee’s majority view. This will be used as the basis on which feedback will be given and the form will be stored on the Chief Executive’s personal file. The assessment criteria are drawn from the post’s job description; these criteria may be altered by the ACSC to reflect changes to the job requirements of the post should they change over time. </w:t>
      </w:r>
    </w:p>
    <w:p w14:paraId="1B504222" w14:textId="77777777" w:rsidR="0049013E" w:rsidRPr="00ED5AD0" w:rsidRDefault="0049013E" w:rsidP="0049013E">
      <w:pPr>
        <w:ind w:left="426"/>
        <w:rPr>
          <w:rFonts w:eastAsia="Calibri"/>
          <w:szCs w:val="22"/>
        </w:rPr>
      </w:pPr>
    </w:p>
    <w:p w14:paraId="7105CD51" w14:textId="77777777" w:rsidR="0049013E" w:rsidRPr="00ED5AD0" w:rsidRDefault="0049013E" w:rsidP="0049013E">
      <w:pPr>
        <w:ind w:left="426"/>
        <w:rPr>
          <w:rFonts w:eastAsia="Calibri"/>
          <w:szCs w:val="22"/>
        </w:rPr>
      </w:pPr>
    </w:p>
    <w:p w14:paraId="06A29AC2" w14:textId="77777777" w:rsidR="0049013E" w:rsidRPr="00ED5AD0" w:rsidRDefault="0049013E" w:rsidP="0049013E">
      <w:pPr>
        <w:ind w:left="426"/>
        <w:rPr>
          <w:rFonts w:eastAsia="Calibri"/>
          <w:b/>
          <w:szCs w:val="22"/>
        </w:rPr>
      </w:pPr>
      <w:r w:rsidRPr="00ED5AD0">
        <w:rPr>
          <w:rFonts w:eastAsia="Calibri"/>
          <w:b/>
          <w:szCs w:val="22"/>
        </w:rPr>
        <w:lastRenderedPageBreak/>
        <w:t>3.2 Feedback to the Chief Executive</w:t>
      </w:r>
    </w:p>
    <w:p w14:paraId="2717C18C" w14:textId="77777777" w:rsidR="0049013E" w:rsidRPr="00ED5AD0" w:rsidRDefault="0049013E" w:rsidP="0049013E">
      <w:pPr>
        <w:ind w:left="426"/>
        <w:rPr>
          <w:rFonts w:eastAsia="Calibri"/>
          <w:szCs w:val="22"/>
        </w:rPr>
      </w:pPr>
      <w:r w:rsidRPr="00ED5AD0">
        <w:rPr>
          <w:rFonts w:eastAsia="Calibri"/>
          <w:szCs w:val="22"/>
        </w:rPr>
        <w:t xml:space="preserve">The views of the ACSC will be fed back in person to the Chief Executive by the Leader, Deputy Leader and the Opposition Leader. </w:t>
      </w:r>
    </w:p>
    <w:p w14:paraId="5568CCC2" w14:textId="77777777" w:rsidR="0049013E" w:rsidRPr="00ED5AD0" w:rsidRDefault="0049013E" w:rsidP="0049013E">
      <w:pPr>
        <w:ind w:left="426"/>
        <w:rPr>
          <w:rFonts w:eastAsia="Calibri"/>
          <w:szCs w:val="22"/>
        </w:rPr>
      </w:pPr>
    </w:p>
    <w:p w14:paraId="30841175" w14:textId="77777777" w:rsidR="0049013E" w:rsidRPr="00ED5AD0" w:rsidRDefault="0049013E" w:rsidP="0049013E">
      <w:pPr>
        <w:ind w:left="426"/>
        <w:rPr>
          <w:rFonts w:eastAsia="Calibri"/>
          <w:szCs w:val="22"/>
        </w:rPr>
      </w:pPr>
      <w:r w:rsidRPr="00ED5AD0">
        <w:rPr>
          <w:rFonts w:eastAsia="Calibri"/>
          <w:szCs w:val="22"/>
        </w:rPr>
        <w:t>This feedback will confirm:</w:t>
      </w:r>
    </w:p>
    <w:p w14:paraId="559E8D52" w14:textId="77777777" w:rsidR="0049013E" w:rsidRPr="00ED5AD0" w:rsidRDefault="0049013E" w:rsidP="0049013E">
      <w:pPr>
        <w:ind w:left="426"/>
        <w:rPr>
          <w:rFonts w:eastAsia="Calibri"/>
          <w:szCs w:val="22"/>
        </w:rPr>
      </w:pPr>
    </w:p>
    <w:p w14:paraId="3EA05822" w14:textId="77777777" w:rsidR="0049013E" w:rsidRPr="00ED5AD0" w:rsidRDefault="0049013E" w:rsidP="0049013E">
      <w:pPr>
        <w:spacing w:after="120"/>
        <w:ind w:left="426" w:hanging="142"/>
        <w:rPr>
          <w:rFonts w:eastAsia="Calibri"/>
          <w:szCs w:val="22"/>
        </w:rPr>
      </w:pPr>
      <w:r w:rsidRPr="00ED5AD0">
        <w:rPr>
          <w:rFonts w:eastAsia="Calibri"/>
          <w:szCs w:val="22"/>
        </w:rPr>
        <w:t>- The criteria against which performance is meeting or exceeding expectation with examples given of observed behaviours, actions or outcomes where possible and appropriate.</w:t>
      </w:r>
    </w:p>
    <w:p w14:paraId="2861E5EC" w14:textId="77777777" w:rsidR="0049013E" w:rsidRPr="00ED5AD0" w:rsidRDefault="0049013E" w:rsidP="0049013E">
      <w:pPr>
        <w:spacing w:after="120"/>
        <w:ind w:left="426" w:hanging="142"/>
        <w:rPr>
          <w:rFonts w:eastAsia="Calibri"/>
          <w:szCs w:val="22"/>
        </w:rPr>
      </w:pPr>
      <w:r w:rsidRPr="00ED5AD0">
        <w:rPr>
          <w:rFonts w:eastAsia="Calibri"/>
          <w:szCs w:val="22"/>
        </w:rPr>
        <w:t xml:space="preserve">- The criteria against which performance is below that which is expected. The “performance gap” will be specified and detail of future expectations will be made clear. If more of a formal capability procedure is to be applied, this will be made clear following appropriate officer advice. </w:t>
      </w:r>
    </w:p>
    <w:p w14:paraId="4EBE52D8" w14:textId="77777777" w:rsidR="0049013E" w:rsidRPr="00ED5AD0" w:rsidRDefault="0049013E" w:rsidP="0049013E">
      <w:pPr>
        <w:spacing w:after="120"/>
        <w:ind w:left="426" w:hanging="142"/>
        <w:rPr>
          <w:rFonts w:eastAsia="Calibri"/>
          <w:szCs w:val="22"/>
        </w:rPr>
      </w:pPr>
      <w:r w:rsidRPr="00ED5AD0">
        <w:rPr>
          <w:rFonts w:eastAsia="Calibri"/>
          <w:szCs w:val="22"/>
        </w:rPr>
        <w:t>- The pay point to be applied from the anniversary of appointment for the following year (or until an interim review if this is to be sooner).</w:t>
      </w:r>
    </w:p>
    <w:p w14:paraId="767D0693" w14:textId="77777777" w:rsidR="0049013E" w:rsidRPr="00ED5AD0" w:rsidRDefault="0049013E" w:rsidP="0049013E">
      <w:pPr>
        <w:spacing w:after="120"/>
        <w:ind w:left="426" w:hanging="142"/>
        <w:rPr>
          <w:rFonts w:eastAsia="Calibri"/>
          <w:szCs w:val="22"/>
        </w:rPr>
      </w:pPr>
      <w:r w:rsidRPr="00ED5AD0">
        <w:rPr>
          <w:rFonts w:eastAsia="Calibri"/>
          <w:szCs w:val="22"/>
        </w:rPr>
        <w:t>- Expectations for delivery by the Chief Executive of key objectives or tasks over the coming year to which the ACSC wishes to draw particular attention; these may be existing or newly identified.</w:t>
      </w:r>
    </w:p>
    <w:p w14:paraId="35723B00" w14:textId="77777777" w:rsidR="0049013E" w:rsidRPr="00ED5AD0" w:rsidRDefault="0049013E" w:rsidP="0049013E">
      <w:pPr>
        <w:spacing w:after="120"/>
        <w:ind w:left="426" w:hanging="142"/>
        <w:rPr>
          <w:rFonts w:eastAsia="Calibri"/>
          <w:szCs w:val="22"/>
        </w:rPr>
      </w:pPr>
      <w:r w:rsidRPr="00ED5AD0">
        <w:rPr>
          <w:rFonts w:eastAsia="Calibri"/>
          <w:szCs w:val="22"/>
        </w:rPr>
        <w:t xml:space="preserve">- Through discussion with the Chief Executive what, if any, development needs exist and how might these be effectively addressed. Further personal or professional development may be identified by Elected Members or by the Chief Executive even if performance is already high. As appropriate, a development plan will be agreed in principle.  </w:t>
      </w:r>
    </w:p>
    <w:p w14:paraId="7A4E43BE" w14:textId="77777777" w:rsidR="0049013E" w:rsidRPr="00ED5AD0" w:rsidRDefault="0049013E" w:rsidP="0049013E">
      <w:pPr>
        <w:spacing w:after="120"/>
        <w:ind w:left="426" w:hanging="142"/>
        <w:rPr>
          <w:rFonts w:eastAsia="Calibri"/>
          <w:szCs w:val="22"/>
        </w:rPr>
      </w:pPr>
    </w:p>
    <w:p w14:paraId="2789BA93" w14:textId="77777777" w:rsidR="0049013E" w:rsidRPr="00ED5AD0" w:rsidRDefault="0049013E" w:rsidP="0049013E">
      <w:pPr>
        <w:ind w:left="426"/>
        <w:rPr>
          <w:rFonts w:eastAsia="Calibri"/>
          <w:b/>
          <w:szCs w:val="22"/>
        </w:rPr>
      </w:pPr>
      <w:r w:rsidRPr="00ED5AD0">
        <w:rPr>
          <w:rFonts w:eastAsia="Calibri"/>
          <w:b/>
          <w:szCs w:val="22"/>
        </w:rPr>
        <w:t>4. General principles</w:t>
      </w:r>
    </w:p>
    <w:p w14:paraId="69C75844" w14:textId="77777777" w:rsidR="0049013E" w:rsidRPr="00ED5AD0" w:rsidRDefault="0049013E" w:rsidP="0049013E">
      <w:pPr>
        <w:ind w:left="426"/>
        <w:rPr>
          <w:rFonts w:eastAsia="Calibri"/>
          <w:szCs w:val="22"/>
        </w:rPr>
      </w:pPr>
      <w:r w:rsidRPr="00ED5AD0">
        <w:rPr>
          <w:rFonts w:eastAsia="Calibri"/>
          <w:szCs w:val="22"/>
        </w:rPr>
        <w:t xml:space="preserve">The meeting at which feedback is given will be discursive in nature with opportunity for the Chief Executive to identify their own examples of good performance and achievement and to fully explore areas for improvement suggested by the ACSC to ensure that there is full understanding of expectations. </w:t>
      </w:r>
    </w:p>
    <w:p w14:paraId="1F9211C1" w14:textId="77777777" w:rsidR="0049013E" w:rsidRPr="00ED5AD0" w:rsidRDefault="0049013E" w:rsidP="0049013E">
      <w:pPr>
        <w:ind w:left="426"/>
        <w:rPr>
          <w:rFonts w:eastAsia="Calibri"/>
          <w:szCs w:val="22"/>
        </w:rPr>
      </w:pPr>
    </w:p>
    <w:p w14:paraId="41BFE5EA" w14:textId="77777777" w:rsidR="0049013E" w:rsidRPr="00ED5AD0" w:rsidRDefault="0049013E" w:rsidP="0049013E">
      <w:pPr>
        <w:ind w:left="426"/>
        <w:rPr>
          <w:rFonts w:eastAsia="Calibri"/>
          <w:szCs w:val="22"/>
        </w:rPr>
      </w:pPr>
      <w:r w:rsidRPr="00ED5AD0">
        <w:rPr>
          <w:rFonts w:eastAsia="Calibri"/>
          <w:szCs w:val="22"/>
        </w:rPr>
        <w:t>The meeting of the ACSC to discuss performance, and the feedback meeting with the Chief Executive will both be treated as confidential.</w:t>
      </w:r>
    </w:p>
    <w:p w14:paraId="79E422D0" w14:textId="77777777" w:rsidR="0049013E" w:rsidRPr="00ED5AD0" w:rsidRDefault="0049013E" w:rsidP="0049013E">
      <w:pPr>
        <w:ind w:left="426"/>
        <w:rPr>
          <w:rFonts w:eastAsia="Calibri"/>
          <w:szCs w:val="22"/>
        </w:rPr>
      </w:pPr>
    </w:p>
    <w:p w14:paraId="4018797A" w14:textId="77777777" w:rsidR="0049013E" w:rsidRPr="00ED5AD0" w:rsidRDefault="0049013E" w:rsidP="0049013E">
      <w:pPr>
        <w:ind w:left="426"/>
        <w:rPr>
          <w:rFonts w:eastAsia="Calibri"/>
          <w:szCs w:val="22"/>
        </w:rPr>
      </w:pPr>
      <w:r w:rsidRPr="00ED5AD0">
        <w:rPr>
          <w:rFonts w:eastAsia="Calibri"/>
          <w:szCs w:val="22"/>
        </w:rPr>
        <w:t>There is no further right of internal appeal by the Chief Executive against any decision taken by the ACSC in respect to the Chief Executive’s performance or pay.</w:t>
      </w:r>
    </w:p>
    <w:p w14:paraId="05F9172A" w14:textId="77777777" w:rsidR="0049013E" w:rsidRPr="00ED5AD0" w:rsidRDefault="0049013E" w:rsidP="0049013E">
      <w:pPr>
        <w:ind w:left="426"/>
        <w:rPr>
          <w:rFonts w:eastAsia="Calibri"/>
          <w:szCs w:val="22"/>
        </w:rPr>
      </w:pPr>
    </w:p>
    <w:p w14:paraId="3FFA5191" w14:textId="77777777" w:rsidR="0049013E" w:rsidRPr="00ED5AD0" w:rsidRDefault="0049013E" w:rsidP="0049013E">
      <w:pPr>
        <w:ind w:left="426"/>
        <w:rPr>
          <w:rFonts w:eastAsia="Calibri"/>
          <w:szCs w:val="22"/>
        </w:rPr>
      </w:pPr>
    </w:p>
    <w:p w14:paraId="01180112" w14:textId="77777777" w:rsidR="0049013E" w:rsidRPr="00ED5AD0" w:rsidRDefault="0049013E" w:rsidP="0049013E">
      <w:pPr>
        <w:rPr>
          <w:rFonts w:eastAsia="Calibri"/>
          <w:szCs w:val="22"/>
        </w:rPr>
      </w:pPr>
    </w:p>
    <w:p w14:paraId="10EDB767" w14:textId="77777777" w:rsidR="0049013E" w:rsidRPr="00ED5AD0" w:rsidRDefault="0049013E" w:rsidP="0049013E">
      <w:pPr>
        <w:rPr>
          <w:rFonts w:eastAsia="Calibri"/>
          <w:szCs w:val="22"/>
        </w:rPr>
      </w:pPr>
    </w:p>
    <w:p w14:paraId="0AA1B62D" w14:textId="77777777" w:rsidR="0049013E" w:rsidRPr="00ED5AD0" w:rsidRDefault="0049013E" w:rsidP="0049013E">
      <w:pPr>
        <w:rPr>
          <w:rFonts w:eastAsia="Calibri"/>
          <w:szCs w:val="22"/>
        </w:rPr>
      </w:pPr>
    </w:p>
    <w:p w14:paraId="78D68D76" w14:textId="77777777" w:rsidR="0049013E" w:rsidRPr="00ED5AD0" w:rsidRDefault="0049013E" w:rsidP="0049013E">
      <w:pPr>
        <w:rPr>
          <w:rFonts w:eastAsia="Calibri"/>
          <w:szCs w:val="22"/>
        </w:rPr>
      </w:pPr>
    </w:p>
    <w:p w14:paraId="59FDD766" w14:textId="77777777" w:rsidR="0049013E" w:rsidRPr="00ED5AD0" w:rsidRDefault="0049013E" w:rsidP="0049013E">
      <w:pPr>
        <w:rPr>
          <w:rFonts w:eastAsia="Calibri"/>
          <w:szCs w:val="22"/>
        </w:rPr>
      </w:pPr>
    </w:p>
    <w:p w14:paraId="7A3D3918" w14:textId="77777777" w:rsidR="0049013E" w:rsidRPr="00ED5AD0" w:rsidRDefault="0049013E" w:rsidP="0049013E">
      <w:pPr>
        <w:rPr>
          <w:rFonts w:eastAsia="Calibri"/>
          <w:szCs w:val="22"/>
        </w:rPr>
      </w:pPr>
    </w:p>
    <w:p w14:paraId="19C45425" w14:textId="77777777" w:rsidR="0049013E" w:rsidRPr="00ED5AD0" w:rsidRDefault="0049013E" w:rsidP="0049013E">
      <w:pPr>
        <w:rPr>
          <w:rFonts w:eastAsia="Calibri"/>
          <w:szCs w:val="22"/>
        </w:rPr>
        <w:sectPr w:rsidR="0049013E" w:rsidRPr="00ED5AD0" w:rsidSect="000B7EF4">
          <w:pgSz w:w="11906" w:h="16838"/>
          <w:pgMar w:top="993" w:right="1440" w:bottom="1440" w:left="1440" w:header="708" w:footer="708" w:gutter="0"/>
          <w:cols w:space="708"/>
          <w:docGrid w:linePitch="360"/>
        </w:sectPr>
      </w:pPr>
    </w:p>
    <w:p w14:paraId="1BDCBDD3" w14:textId="44B6EC15" w:rsidR="0049013E" w:rsidRPr="00ED5AD0" w:rsidRDefault="0049013E" w:rsidP="0049013E">
      <w:pPr>
        <w:jc w:val="right"/>
        <w:rPr>
          <w:rFonts w:eastAsia="Calibri"/>
          <w:b/>
          <w:bCs/>
          <w:szCs w:val="22"/>
        </w:rPr>
      </w:pPr>
      <w:r w:rsidRPr="00ED5AD0">
        <w:rPr>
          <w:rFonts w:eastAsia="Calibri"/>
          <w:b/>
          <w:bCs/>
          <w:szCs w:val="22"/>
        </w:rPr>
        <w:lastRenderedPageBreak/>
        <w:t xml:space="preserve">Appendix </w:t>
      </w:r>
      <w:r w:rsidR="00EF250A" w:rsidRPr="00ED5AD0">
        <w:rPr>
          <w:rFonts w:eastAsia="Calibri"/>
          <w:b/>
          <w:bCs/>
          <w:szCs w:val="22"/>
        </w:rPr>
        <w:t>I(</w:t>
      </w:r>
      <w:proofErr w:type="spellStart"/>
      <w:r w:rsidR="00EF250A" w:rsidRPr="00ED5AD0">
        <w:rPr>
          <w:rFonts w:eastAsia="Calibri"/>
          <w:b/>
          <w:bCs/>
          <w:szCs w:val="22"/>
        </w:rPr>
        <w:t>i</w:t>
      </w:r>
      <w:proofErr w:type="spellEnd"/>
      <w:r w:rsidR="00EF250A" w:rsidRPr="00ED5AD0">
        <w:rPr>
          <w:rFonts w:eastAsia="Calibri"/>
          <w:b/>
          <w:bCs/>
          <w:szCs w:val="22"/>
        </w:rPr>
        <w:t>)</w:t>
      </w:r>
    </w:p>
    <w:p w14:paraId="7E6B0BD5" w14:textId="77777777" w:rsidR="0049013E" w:rsidRPr="00ED5AD0" w:rsidRDefault="0049013E" w:rsidP="0049013E">
      <w:pPr>
        <w:rPr>
          <w:rFonts w:eastAsia="Calibri"/>
          <w:b/>
          <w:sz w:val="32"/>
          <w:szCs w:val="32"/>
        </w:rPr>
      </w:pPr>
      <w:r w:rsidRPr="00ED5AD0">
        <w:rPr>
          <w:rFonts w:eastAsia="Calibri"/>
          <w:b/>
          <w:sz w:val="32"/>
          <w:szCs w:val="32"/>
        </w:rPr>
        <w:t>Performance and Pay Assessment of Chief Executive</w:t>
      </w:r>
    </w:p>
    <w:p w14:paraId="6BB1F5D1" w14:textId="77777777" w:rsidR="0049013E" w:rsidRPr="00ED5AD0" w:rsidRDefault="0049013E" w:rsidP="0049013E">
      <w:pPr>
        <w:rPr>
          <w:rFonts w:eastAsia="Calibri"/>
          <w:b/>
          <w:szCs w:val="22"/>
        </w:rPr>
      </w:pPr>
      <w:r w:rsidRPr="00ED5AD0">
        <w:rPr>
          <w:rFonts w:eastAsia="Calibri"/>
          <w:b/>
          <w:szCs w:val="22"/>
        </w:rPr>
        <w:t>Appointments and Conditions of Service Committee Summary Assessment</w:t>
      </w:r>
    </w:p>
    <w:p w14:paraId="2530547B" w14:textId="77777777" w:rsidR="0049013E" w:rsidRPr="00ED5AD0" w:rsidRDefault="0049013E" w:rsidP="0049013E">
      <w:pPr>
        <w:rPr>
          <w:rFonts w:eastAsia="Calibri"/>
          <w:b/>
          <w:szCs w:val="22"/>
        </w:rPr>
      </w:pPr>
      <w:r w:rsidRPr="00ED5AD0">
        <w:rPr>
          <w:rFonts w:eastAsia="Calibri"/>
          <w:b/>
          <w:szCs w:val="22"/>
        </w:rPr>
        <w:t>Date:</w:t>
      </w:r>
    </w:p>
    <w:p w14:paraId="4A25A868" w14:textId="77777777" w:rsidR="0049013E" w:rsidRPr="00ED5AD0" w:rsidRDefault="0049013E" w:rsidP="0049013E">
      <w:pPr>
        <w:rPr>
          <w:rFonts w:eastAsia="Calibri"/>
          <w:szCs w:val="22"/>
        </w:rPr>
      </w:pP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276"/>
        <w:gridCol w:w="1276"/>
        <w:gridCol w:w="1276"/>
        <w:gridCol w:w="7087"/>
      </w:tblGrid>
      <w:tr w:rsidR="0049013E" w:rsidRPr="00ED5AD0" w14:paraId="4764B23D" w14:textId="77777777" w:rsidTr="000B7EF4">
        <w:tc>
          <w:tcPr>
            <w:tcW w:w="3969" w:type="dxa"/>
            <w:vMerge w:val="restart"/>
            <w:shd w:val="clear" w:color="auto" w:fill="auto"/>
          </w:tcPr>
          <w:p w14:paraId="21BA80B0" w14:textId="77777777" w:rsidR="0049013E" w:rsidRPr="00ED5AD0" w:rsidRDefault="0049013E" w:rsidP="000B7EF4">
            <w:pPr>
              <w:rPr>
                <w:rFonts w:eastAsia="Calibri"/>
                <w:b/>
                <w:szCs w:val="22"/>
              </w:rPr>
            </w:pPr>
            <w:r w:rsidRPr="00ED5AD0">
              <w:rPr>
                <w:rFonts w:eastAsia="Calibri"/>
                <w:szCs w:val="22"/>
              </w:rPr>
              <w:t xml:space="preserve">  </w:t>
            </w:r>
            <w:r w:rsidRPr="00ED5AD0">
              <w:rPr>
                <w:rFonts w:eastAsia="Calibri"/>
                <w:b/>
                <w:szCs w:val="22"/>
              </w:rPr>
              <w:t>Criteria</w:t>
            </w:r>
          </w:p>
        </w:tc>
        <w:tc>
          <w:tcPr>
            <w:tcW w:w="3828" w:type="dxa"/>
            <w:gridSpan w:val="3"/>
            <w:shd w:val="clear" w:color="auto" w:fill="auto"/>
          </w:tcPr>
          <w:p w14:paraId="0AE7B0CA" w14:textId="77777777" w:rsidR="0049013E" w:rsidRPr="00ED5AD0" w:rsidRDefault="0049013E" w:rsidP="000B7EF4">
            <w:pPr>
              <w:jc w:val="center"/>
              <w:rPr>
                <w:rFonts w:eastAsia="Calibri"/>
                <w:b/>
                <w:sz w:val="20"/>
              </w:rPr>
            </w:pPr>
            <w:r w:rsidRPr="00ED5AD0">
              <w:rPr>
                <w:rFonts w:eastAsia="Calibri"/>
                <w:b/>
                <w:sz w:val="20"/>
              </w:rPr>
              <w:t>Assessed as (tick one):</w:t>
            </w:r>
          </w:p>
        </w:tc>
        <w:tc>
          <w:tcPr>
            <w:tcW w:w="7087" w:type="dxa"/>
            <w:vMerge w:val="restart"/>
            <w:shd w:val="clear" w:color="auto" w:fill="auto"/>
          </w:tcPr>
          <w:p w14:paraId="7575E87B" w14:textId="77777777" w:rsidR="0049013E" w:rsidRPr="00ED5AD0" w:rsidRDefault="0049013E" w:rsidP="000B7EF4">
            <w:pPr>
              <w:rPr>
                <w:rFonts w:eastAsia="Calibri"/>
                <w:szCs w:val="22"/>
              </w:rPr>
            </w:pPr>
            <w:r w:rsidRPr="00ED5AD0">
              <w:rPr>
                <w:rFonts w:eastAsia="Calibri"/>
                <w:b/>
                <w:szCs w:val="22"/>
              </w:rPr>
              <w:t xml:space="preserve">Additional and supporting comments </w:t>
            </w:r>
          </w:p>
        </w:tc>
      </w:tr>
      <w:tr w:rsidR="0049013E" w:rsidRPr="00ED5AD0" w14:paraId="48D95794" w14:textId="77777777" w:rsidTr="000B7EF4">
        <w:tc>
          <w:tcPr>
            <w:tcW w:w="3969" w:type="dxa"/>
            <w:vMerge/>
            <w:shd w:val="clear" w:color="auto" w:fill="auto"/>
          </w:tcPr>
          <w:p w14:paraId="7D16BC3A" w14:textId="77777777" w:rsidR="0049013E" w:rsidRPr="00ED5AD0" w:rsidRDefault="0049013E" w:rsidP="000B7EF4">
            <w:pPr>
              <w:rPr>
                <w:rFonts w:eastAsia="Calibri"/>
                <w:szCs w:val="22"/>
              </w:rPr>
            </w:pPr>
          </w:p>
        </w:tc>
        <w:tc>
          <w:tcPr>
            <w:tcW w:w="1276" w:type="dxa"/>
            <w:shd w:val="clear" w:color="auto" w:fill="auto"/>
          </w:tcPr>
          <w:p w14:paraId="6C3FF6C0" w14:textId="77777777" w:rsidR="0049013E" w:rsidRPr="00ED5AD0" w:rsidRDefault="0049013E" w:rsidP="000B7EF4">
            <w:pPr>
              <w:rPr>
                <w:rFonts w:eastAsia="Calibri"/>
                <w:sz w:val="20"/>
              </w:rPr>
            </w:pPr>
            <w:r w:rsidRPr="00ED5AD0">
              <w:rPr>
                <w:rFonts w:eastAsia="Calibri"/>
                <w:sz w:val="20"/>
              </w:rPr>
              <w:t>Below expectation</w:t>
            </w:r>
          </w:p>
        </w:tc>
        <w:tc>
          <w:tcPr>
            <w:tcW w:w="1276" w:type="dxa"/>
            <w:shd w:val="clear" w:color="auto" w:fill="auto"/>
          </w:tcPr>
          <w:p w14:paraId="6CEA235A" w14:textId="77777777" w:rsidR="0049013E" w:rsidRPr="00ED5AD0" w:rsidRDefault="0049013E" w:rsidP="000B7EF4">
            <w:pPr>
              <w:rPr>
                <w:rFonts w:eastAsia="Calibri"/>
                <w:sz w:val="20"/>
              </w:rPr>
            </w:pPr>
            <w:r w:rsidRPr="00ED5AD0">
              <w:rPr>
                <w:rFonts w:eastAsia="Calibri"/>
                <w:sz w:val="20"/>
              </w:rPr>
              <w:t>Meeting expectation</w:t>
            </w:r>
          </w:p>
        </w:tc>
        <w:tc>
          <w:tcPr>
            <w:tcW w:w="1276" w:type="dxa"/>
            <w:shd w:val="clear" w:color="auto" w:fill="auto"/>
          </w:tcPr>
          <w:p w14:paraId="6D5B1A6B" w14:textId="77777777" w:rsidR="0049013E" w:rsidRPr="00ED5AD0" w:rsidRDefault="0049013E" w:rsidP="000B7EF4">
            <w:pPr>
              <w:rPr>
                <w:rFonts w:eastAsia="Calibri"/>
                <w:sz w:val="20"/>
              </w:rPr>
            </w:pPr>
            <w:r w:rsidRPr="00ED5AD0">
              <w:rPr>
                <w:rFonts w:eastAsia="Calibri"/>
                <w:sz w:val="20"/>
              </w:rPr>
              <w:t xml:space="preserve">Exceeding expectation </w:t>
            </w:r>
          </w:p>
        </w:tc>
        <w:tc>
          <w:tcPr>
            <w:tcW w:w="7087" w:type="dxa"/>
            <w:vMerge/>
            <w:shd w:val="clear" w:color="auto" w:fill="auto"/>
          </w:tcPr>
          <w:p w14:paraId="5B117C45" w14:textId="77777777" w:rsidR="0049013E" w:rsidRPr="00ED5AD0" w:rsidRDefault="0049013E" w:rsidP="000B7EF4">
            <w:pPr>
              <w:rPr>
                <w:rFonts w:eastAsia="Calibri"/>
                <w:szCs w:val="22"/>
              </w:rPr>
            </w:pPr>
          </w:p>
        </w:tc>
      </w:tr>
      <w:tr w:rsidR="0049013E" w:rsidRPr="00ED5AD0" w14:paraId="77E9B1E3" w14:textId="77777777" w:rsidTr="000B7EF4">
        <w:tc>
          <w:tcPr>
            <w:tcW w:w="3969" w:type="dxa"/>
            <w:shd w:val="clear" w:color="auto" w:fill="auto"/>
          </w:tcPr>
          <w:p w14:paraId="5501B3EA" w14:textId="77777777" w:rsidR="0049013E" w:rsidRPr="00ED5AD0" w:rsidRDefault="0049013E" w:rsidP="000B7EF4">
            <w:pPr>
              <w:rPr>
                <w:rFonts w:eastAsia="Calibri"/>
                <w:sz w:val="20"/>
              </w:rPr>
            </w:pPr>
            <w:r w:rsidRPr="00ED5AD0">
              <w:rPr>
                <w:rFonts w:eastAsia="Calibri"/>
                <w:sz w:val="20"/>
              </w:rPr>
              <w:t>The leadership and management of the Council to achieve high standards of service and performance.</w:t>
            </w:r>
          </w:p>
        </w:tc>
        <w:tc>
          <w:tcPr>
            <w:tcW w:w="1276" w:type="dxa"/>
            <w:shd w:val="clear" w:color="auto" w:fill="auto"/>
          </w:tcPr>
          <w:p w14:paraId="3D5FE81B" w14:textId="77777777" w:rsidR="0049013E" w:rsidRPr="00ED5AD0" w:rsidRDefault="0049013E" w:rsidP="000B7EF4">
            <w:pPr>
              <w:rPr>
                <w:rFonts w:eastAsia="Calibri"/>
                <w:szCs w:val="22"/>
              </w:rPr>
            </w:pPr>
          </w:p>
        </w:tc>
        <w:tc>
          <w:tcPr>
            <w:tcW w:w="1276" w:type="dxa"/>
            <w:shd w:val="clear" w:color="auto" w:fill="auto"/>
          </w:tcPr>
          <w:p w14:paraId="23583451" w14:textId="77777777" w:rsidR="0049013E" w:rsidRPr="00ED5AD0" w:rsidRDefault="0049013E" w:rsidP="000B7EF4">
            <w:pPr>
              <w:rPr>
                <w:rFonts w:eastAsia="Calibri"/>
                <w:szCs w:val="22"/>
              </w:rPr>
            </w:pPr>
          </w:p>
        </w:tc>
        <w:tc>
          <w:tcPr>
            <w:tcW w:w="1276" w:type="dxa"/>
            <w:shd w:val="clear" w:color="auto" w:fill="auto"/>
          </w:tcPr>
          <w:p w14:paraId="09DBDF78" w14:textId="77777777" w:rsidR="0049013E" w:rsidRPr="00ED5AD0" w:rsidRDefault="0049013E" w:rsidP="000B7EF4">
            <w:pPr>
              <w:rPr>
                <w:rFonts w:eastAsia="Calibri"/>
                <w:szCs w:val="22"/>
              </w:rPr>
            </w:pPr>
          </w:p>
        </w:tc>
        <w:tc>
          <w:tcPr>
            <w:tcW w:w="7087" w:type="dxa"/>
            <w:shd w:val="clear" w:color="auto" w:fill="auto"/>
          </w:tcPr>
          <w:p w14:paraId="5318C27A" w14:textId="77777777" w:rsidR="0049013E" w:rsidRPr="00ED5AD0" w:rsidRDefault="0049013E" w:rsidP="000B7EF4">
            <w:pPr>
              <w:rPr>
                <w:rFonts w:eastAsia="Calibri"/>
                <w:szCs w:val="22"/>
              </w:rPr>
            </w:pPr>
          </w:p>
        </w:tc>
      </w:tr>
      <w:tr w:rsidR="0049013E" w:rsidRPr="00ED5AD0" w14:paraId="6B53450A" w14:textId="77777777" w:rsidTr="000B7EF4">
        <w:tc>
          <w:tcPr>
            <w:tcW w:w="3969" w:type="dxa"/>
            <w:shd w:val="clear" w:color="auto" w:fill="auto"/>
          </w:tcPr>
          <w:p w14:paraId="5B5A3D0F" w14:textId="77777777" w:rsidR="0049013E" w:rsidRPr="00ED5AD0" w:rsidRDefault="0049013E" w:rsidP="000B7EF4">
            <w:pPr>
              <w:rPr>
                <w:rFonts w:eastAsia="Calibri"/>
                <w:sz w:val="20"/>
              </w:rPr>
            </w:pPr>
            <w:r w:rsidRPr="00ED5AD0">
              <w:rPr>
                <w:rFonts w:eastAsia="Calibri"/>
                <w:sz w:val="20"/>
              </w:rPr>
              <w:t>To provide the necessary support to enable Elected Members to effectively carry out their role.</w:t>
            </w:r>
          </w:p>
        </w:tc>
        <w:tc>
          <w:tcPr>
            <w:tcW w:w="1276" w:type="dxa"/>
            <w:shd w:val="clear" w:color="auto" w:fill="auto"/>
          </w:tcPr>
          <w:p w14:paraId="2FE5625C" w14:textId="77777777" w:rsidR="0049013E" w:rsidRPr="00ED5AD0" w:rsidRDefault="0049013E" w:rsidP="000B7EF4">
            <w:pPr>
              <w:rPr>
                <w:rFonts w:eastAsia="Calibri"/>
                <w:szCs w:val="22"/>
              </w:rPr>
            </w:pPr>
          </w:p>
        </w:tc>
        <w:tc>
          <w:tcPr>
            <w:tcW w:w="1276" w:type="dxa"/>
            <w:shd w:val="clear" w:color="auto" w:fill="auto"/>
          </w:tcPr>
          <w:p w14:paraId="0DFB2B35" w14:textId="77777777" w:rsidR="0049013E" w:rsidRPr="00ED5AD0" w:rsidRDefault="0049013E" w:rsidP="000B7EF4">
            <w:pPr>
              <w:rPr>
                <w:rFonts w:eastAsia="Calibri"/>
                <w:szCs w:val="22"/>
              </w:rPr>
            </w:pPr>
          </w:p>
        </w:tc>
        <w:tc>
          <w:tcPr>
            <w:tcW w:w="1276" w:type="dxa"/>
            <w:shd w:val="clear" w:color="auto" w:fill="auto"/>
          </w:tcPr>
          <w:p w14:paraId="77B5442D" w14:textId="77777777" w:rsidR="0049013E" w:rsidRPr="00ED5AD0" w:rsidRDefault="0049013E" w:rsidP="000B7EF4">
            <w:pPr>
              <w:rPr>
                <w:rFonts w:eastAsia="Calibri"/>
                <w:szCs w:val="22"/>
              </w:rPr>
            </w:pPr>
          </w:p>
        </w:tc>
        <w:tc>
          <w:tcPr>
            <w:tcW w:w="7087" w:type="dxa"/>
            <w:shd w:val="clear" w:color="auto" w:fill="auto"/>
          </w:tcPr>
          <w:p w14:paraId="00056DD5" w14:textId="77777777" w:rsidR="0049013E" w:rsidRPr="00ED5AD0" w:rsidRDefault="0049013E" w:rsidP="000B7EF4">
            <w:pPr>
              <w:rPr>
                <w:rFonts w:eastAsia="Calibri"/>
                <w:szCs w:val="22"/>
              </w:rPr>
            </w:pPr>
          </w:p>
        </w:tc>
      </w:tr>
      <w:tr w:rsidR="0049013E" w:rsidRPr="00ED5AD0" w14:paraId="3F8952A7" w14:textId="77777777" w:rsidTr="000B7EF4">
        <w:tc>
          <w:tcPr>
            <w:tcW w:w="3969" w:type="dxa"/>
            <w:shd w:val="clear" w:color="auto" w:fill="auto"/>
          </w:tcPr>
          <w:p w14:paraId="748C8778" w14:textId="77777777" w:rsidR="0049013E" w:rsidRPr="00ED5AD0" w:rsidRDefault="0049013E" w:rsidP="000B7EF4">
            <w:pPr>
              <w:rPr>
                <w:rFonts w:eastAsia="Calibri"/>
                <w:sz w:val="20"/>
              </w:rPr>
            </w:pPr>
            <w:r w:rsidRPr="00ED5AD0">
              <w:rPr>
                <w:rFonts w:eastAsia="Calibri"/>
                <w:sz w:val="20"/>
              </w:rPr>
              <w:t>To ensure effective and timely communication and advice is offered to Group Leaders on key matters.</w:t>
            </w:r>
          </w:p>
        </w:tc>
        <w:tc>
          <w:tcPr>
            <w:tcW w:w="1276" w:type="dxa"/>
            <w:shd w:val="clear" w:color="auto" w:fill="auto"/>
          </w:tcPr>
          <w:p w14:paraId="4E35F184" w14:textId="77777777" w:rsidR="0049013E" w:rsidRPr="00ED5AD0" w:rsidRDefault="0049013E" w:rsidP="000B7EF4">
            <w:pPr>
              <w:rPr>
                <w:rFonts w:eastAsia="Calibri"/>
                <w:szCs w:val="22"/>
              </w:rPr>
            </w:pPr>
          </w:p>
        </w:tc>
        <w:tc>
          <w:tcPr>
            <w:tcW w:w="1276" w:type="dxa"/>
            <w:shd w:val="clear" w:color="auto" w:fill="auto"/>
          </w:tcPr>
          <w:p w14:paraId="067F3697" w14:textId="77777777" w:rsidR="0049013E" w:rsidRPr="00ED5AD0" w:rsidRDefault="0049013E" w:rsidP="000B7EF4">
            <w:pPr>
              <w:rPr>
                <w:rFonts w:eastAsia="Calibri"/>
                <w:szCs w:val="22"/>
              </w:rPr>
            </w:pPr>
          </w:p>
        </w:tc>
        <w:tc>
          <w:tcPr>
            <w:tcW w:w="1276" w:type="dxa"/>
            <w:shd w:val="clear" w:color="auto" w:fill="auto"/>
          </w:tcPr>
          <w:p w14:paraId="595DE5F8" w14:textId="77777777" w:rsidR="0049013E" w:rsidRPr="00ED5AD0" w:rsidRDefault="0049013E" w:rsidP="000B7EF4">
            <w:pPr>
              <w:rPr>
                <w:rFonts w:eastAsia="Calibri"/>
                <w:szCs w:val="22"/>
              </w:rPr>
            </w:pPr>
          </w:p>
        </w:tc>
        <w:tc>
          <w:tcPr>
            <w:tcW w:w="7087" w:type="dxa"/>
            <w:shd w:val="clear" w:color="auto" w:fill="auto"/>
          </w:tcPr>
          <w:p w14:paraId="024C2DE5" w14:textId="77777777" w:rsidR="0049013E" w:rsidRPr="00ED5AD0" w:rsidRDefault="0049013E" w:rsidP="000B7EF4">
            <w:pPr>
              <w:rPr>
                <w:rFonts w:eastAsia="Calibri"/>
                <w:szCs w:val="22"/>
              </w:rPr>
            </w:pPr>
          </w:p>
        </w:tc>
      </w:tr>
      <w:tr w:rsidR="0049013E" w:rsidRPr="00ED5AD0" w14:paraId="30270D86" w14:textId="77777777" w:rsidTr="000B7EF4">
        <w:tc>
          <w:tcPr>
            <w:tcW w:w="3969" w:type="dxa"/>
            <w:shd w:val="clear" w:color="auto" w:fill="auto"/>
          </w:tcPr>
          <w:p w14:paraId="1234ADCF" w14:textId="77777777" w:rsidR="0049013E" w:rsidRPr="00ED5AD0" w:rsidRDefault="0049013E" w:rsidP="000B7EF4">
            <w:pPr>
              <w:rPr>
                <w:rFonts w:eastAsia="Calibri"/>
                <w:sz w:val="20"/>
              </w:rPr>
            </w:pPr>
            <w:r w:rsidRPr="00ED5AD0">
              <w:rPr>
                <w:rFonts w:eastAsia="Calibri"/>
                <w:sz w:val="20"/>
              </w:rPr>
              <w:t>To effectively manage the interface between Elected Members and Senior Officers.</w:t>
            </w:r>
          </w:p>
        </w:tc>
        <w:tc>
          <w:tcPr>
            <w:tcW w:w="1276" w:type="dxa"/>
            <w:shd w:val="clear" w:color="auto" w:fill="auto"/>
          </w:tcPr>
          <w:p w14:paraId="09FCA037" w14:textId="77777777" w:rsidR="0049013E" w:rsidRPr="00ED5AD0" w:rsidRDefault="0049013E" w:rsidP="000B7EF4">
            <w:pPr>
              <w:rPr>
                <w:rFonts w:eastAsia="Calibri"/>
                <w:szCs w:val="22"/>
              </w:rPr>
            </w:pPr>
          </w:p>
        </w:tc>
        <w:tc>
          <w:tcPr>
            <w:tcW w:w="1276" w:type="dxa"/>
            <w:shd w:val="clear" w:color="auto" w:fill="auto"/>
          </w:tcPr>
          <w:p w14:paraId="3B9B126E" w14:textId="77777777" w:rsidR="0049013E" w:rsidRPr="00ED5AD0" w:rsidRDefault="0049013E" w:rsidP="000B7EF4">
            <w:pPr>
              <w:rPr>
                <w:rFonts w:eastAsia="Calibri"/>
                <w:szCs w:val="22"/>
              </w:rPr>
            </w:pPr>
          </w:p>
        </w:tc>
        <w:tc>
          <w:tcPr>
            <w:tcW w:w="1276" w:type="dxa"/>
            <w:shd w:val="clear" w:color="auto" w:fill="auto"/>
          </w:tcPr>
          <w:p w14:paraId="471EE57F" w14:textId="77777777" w:rsidR="0049013E" w:rsidRPr="00ED5AD0" w:rsidRDefault="0049013E" w:rsidP="000B7EF4">
            <w:pPr>
              <w:rPr>
                <w:rFonts w:eastAsia="Calibri"/>
                <w:szCs w:val="22"/>
              </w:rPr>
            </w:pPr>
          </w:p>
        </w:tc>
        <w:tc>
          <w:tcPr>
            <w:tcW w:w="7087" w:type="dxa"/>
            <w:shd w:val="clear" w:color="auto" w:fill="auto"/>
          </w:tcPr>
          <w:p w14:paraId="07570352" w14:textId="77777777" w:rsidR="0049013E" w:rsidRPr="00ED5AD0" w:rsidRDefault="0049013E" w:rsidP="000B7EF4">
            <w:pPr>
              <w:rPr>
                <w:rFonts w:eastAsia="Calibri"/>
                <w:szCs w:val="22"/>
              </w:rPr>
            </w:pPr>
          </w:p>
        </w:tc>
      </w:tr>
      <w:tr w:rsidR="0049013E" w:rsidRPr="00ED5AD0" w14:paraId="1223B4FD" w14:textId="77777777" w:rsidTr="000B7EF4">
        <w:tc>
          <w:tcPr>
            <w:tcW w:w="3969" w:type="dxa"/>
            <w:shd w:val="clear" w:color="auto" w:fill="auto"/>
          </w:tcPr>
          <w:p w14:paraId="653E9203" w14:textId="77777777" w:rsidR="0049013E" w:rsidRPr="00ED5AD0" w:rsidRDefault="0049013E" w:rsidP="000B7EF4">
            <w:pPr>
              <w:rPr>
                <w:rFonts w:eastAsia="Calibri"/>
                <w:sz w:val="20"/>
              </w:rPr>
            </w:pPr>
            <w:r w:rsidRPr="00ED5AD0">
              <w:rPr>
                <w:rFonts w:eastAsia="Calibri"/>
                <w:sz w:val="20"/>
              </w:rPr>
              <w:t>The development and maintenance of effective partnerships for the benefit of borough residents.</w:t>
            </w:r>
          </w:p>
        </w:tc>
        <w:tc>
          <w:tcPr>
            <w:tcW w:w="1276" w:type="dxa"/>
            <w:shd w:val="clear" w:color="auto" w:fill="auto"/>
          </w:tcPr>
          <w:p w14:paraId="2C74701B" w14:textId="77777777" w:rsidR="0049013E" w:rsidRPr="00ED5AD0" w:rsidRDefault="0049013E" w:rsidP="000B7EF4">
            <w:pPr>
              <w:rPr>
                <w:rFonts w:eastAsia="Calibri"/>
                <w:szCs w:val="22"/>
              </w:rPr>
            </w:pPr>
          </w:p>
        </w:tc>
        <w:tc>
          <w:tcPr>
            <w:tcW w:w="1276" w:type="dxa"/>
            <w:shd w:val="clear" w:color="auto" w:fill="auto"/>
          </w:tcPr>
          <w:p w14:paraId="09FD8EAF" w14:textId="77777777" w:rsidR="0049013E" w:rsidRPr="00ED5AD0" w:rsidRDefault="0049013E" w:rsidP="000B7EF4">
            <w:pPr>
              <w:rPr>
                <w:rFonts w:eastAsia="Calibri"/>
                <w:szCs w:val="22"/>
              </w:rPr>
            </w:pPr>
          </w:p>
        </w:tc>
        <w:tc>
          <w:tcPr>
            <w:tcW w:w="1276" w:type="dxa"/>
            <w:shd w:val="clear" w:color="auto" w:fill="auto"/>
          </w:tcPr>
          <w:p w14:paraId="5F577F01" w14:textId="77777777" w:rsidR="0049013E" w:rsidRPr="00ED5AD0" w:rsidRDefault="0049013E" w:rsidP="000B7EF4">
            <w:pPr>
              <w:rPr>
                <w:rFonts w:eastAsia="Calibri"/>
                <w:szCs w:val="22"/>
              </w:rPr>
            </w:pPr>
          </w:p>
        </w:tc>
        <w:tc>
          <w:tcPr>
            <w:tcW w:w="7087" w:type="dxa"/>
            <w:shd w:val="clear" w:color="auto" w:fill="auto"/>
          </w:tcPr>
          <w:p w14:paraId="3AB02261" w14:textId="77777777" w:rsidR="0049013E" w:rsidRPr="00ED5AD0" w:rsidRDefault="0049013E" w:rsidP="000B7EF4">
            <w:pPr>
              <w:rPr>
                <w:rFonts w:eastAsia="Calibri"/>
                <w:szCs w:val="22"/>
              </w:rPr>
            </w:pPr>
          </w:p>
        </w:tc>
      </w:tr>
      <w:tr w:rsidR="0049013E" w:rsidRPr="00ED5AD0" w14:paraId="3CDFFEB8" w14:textId="77777777" w:rsidTr="000B7EF4">
        <w:tc>
          <w:tcPr>
            <w:tcW w:w="3969" w:type="dxa"/>
            <w:shd w:val="clear" w:color="auto" w:fill="auto"/>
          </w:tcPr>
          <w:p w14:paraId="7EE307E7" w14:textId="77777777" w:rsidR="0049013E" w:rsidRPr="00ED5AD0" w:rsidRDefault="0049013E" w:rsidP="000B7EF4">
            <w:pPr>
              <w:rPr>
                <w:rFonts w:eastAsia="Calibri"/>
                <w:sz w:val="20"/>
              </w:rPr>
            </w:pPr>
            <w:r w:rsidRPr="00ED5AD0">
              <w:rPr>
                <w:rFonts w:eastAsia="Calibri"/>
                <w:sz w:val="20"/>
              </w:rPr>
              <w:t>To guide and bring forward policy development to ensure the delivery of the Council’s vision and priorities.</w:t>
            </w:r>
          </w:p>
        </w:tc>
        <w:tc>
          <w:tcPr>
            <w:tcW w:w="1276" w:type="dxa"/>
            <w:shd w:val="clear" w:color="auto" w:fill="auto"/>
          </w:tcPr>
          <w:p w14:paraId="66B31962" w14:textId="77777777" w:rsidR="0049013E" w:rsidRPr="00ED5AD0" w:rsidRDefault="0049013E" w:rsidP="000B7EF4">
            <w:pPr>
              <w:rPr>
                <w:rFonts w:eastAsia="Calibri"/>
                <w:szCs w:val="22"/>
              </w:rPr>
            </w:pPr>
          </w:p>
        </w:tc>
        <w:tc>
          <w:tcPr>
            <w:tcW w:w="1276" w:type="dxa"/>
            <w:shd w:val="clear" w:color="auto" w:fill="auto"/>
          </w:tcPr>
          <w:p w14:paraId="7FE1B72A" w14:textId="77777777" w:rsidR="0049013E" w:rsidRPr="00ED5AD0" w:rsidRDefault="0049013E" w:rsidP="000B7EF4">
            <w:pPr>
              <w:rPr>
                <w:rFonts w:eastAsia="Calibri"/>
                <w:szCs w:val="22"/>
              </w:rPr>
            </w:pPr>
          </w:p>
        </w:tc>
        <w:tc>
          <w:tcPr>
            <w:tcW w:w="1276" w:type="dxa"/>
            <w:shd w:val="clear" w:color="auto" w:fill="auto"/>
          </w:tcPr>
          <w:p w14:paraId="113CBC0C" w14:textId="77777777" w:rsidR="0049013E" w:rsidRPr="00ED5AD0" w:rsidRDefault="0049013E" w:rsidP="000B7EF4">
            <w:pPr>
              <w:rPr>
                <w:rFonts w:eastAsia="Calibri"/>
                <w:szCs w:val="22"/>
              </w:rPr>
            </w:pPr>
          </w:p>
        </w:tc>
        <w:tc>
          <w:tcPr>
            <w:tcW w:w="7087" w:type="dxa"/>
            <w:shd w:val="clear" w:color="auto" w:fill="auto"/>
          </w:tcPr>
          <w:p w14:paraId="6206E083" w14:textId="77777777" w:rsidR="0049013E" w:rsidRPr="00ED5AD0" w:rsidRDefault="0049013E" w:rsidP="000B7EF4">
            <w:pPr>
              <w:rPr>
                <w:rFonts w:eastAsia="Calibri"/>
                <w:szCs w:val="22"/>
              </w:rPr>
            </w:pPr>
          </w:p>
        </w:tc>
      </w:tr>
      <w:tr w:rsidR="0049013E" w:rsidRPr="00ED5AD0" w14:paraId="386819FE" w14:textId="77777777" w:rsidTr="000B7EF4">
        <w:tc>
          <w:tcPr>
            <w:tcW w:w="3969" w:type="dxa"/>
            <w:shd w:val="clear" w:color="auto" w:fill="auto"/>
          </w:tcPr>
          <w:p w14:paraId="783BBFB8" w14:textId="77777777" w:rsidR="0049013E" w:rsidRPr="00ED5AD0" w:rsidRDefault="0049013E" w:rsidP="000B7EF4">
            <w:pPr>
              <w:rPr>
                <w:rFonts w:eastAsia="Calibri"/>
                <w:sz w:val="20"/>
              </w:rPr>
            </w:pPr>
            <w:r w:rsidRPr="00ED5AD0">
              <w:rPr>
                <w:rFonts w:eastAsia="Calibri"/>
                <w:sz w:val="20"/>
              </w:rPr>
              <w:t>To support Elected Members to engender an appropriate workplace culture that is reflected across the organisation.</w:t>
            </w:r>
          </w:p>
          <w:p w14:paraId="2736DEBF" w14:textId="77777777" w:rsidR="0049013E" w:rsidRPr="00ED5AD0" w:rsidRDefault="0049013E" w:rsidP="000B7EF4">
            <w:pPr>
              <w:rPr>
                <w:rFonts w:eastAsia="Calibri"/>
                <w:sz w:val="20"/>
              </w:rPr>
            </w:pPr>
          </w:p>
        </w:tc>
        <w:tc>
          <w:tcPr>
            <w:tcW w:w="1276" w:type="dxa"/>
            <w:shd w:val="clear" w:color="auto" w:fill="auto"/>
          </w:tcPr>
          <w:p w14:paraId="7F0C043F" w14:textId="77777777" w:rsidR="0049013E" w:rsidRPr="00ED5AD0" w:rsidRDefault="0049013E" w:rsidP="000B7EF4">
            <w:pPr>
              <w:rPr>
                <w:rFonts w:eastAsia="Calibri"/>
                <w:szCs w:val="22"/>
              </w:rPr>
            </w:pPr>
          </w:p>
        </w:tc>
        <w:tc>
          <w:tcPr>
            <w:tcW w:w="1276" w:type="dxa"/>
            <w:shd w:val="clear" w:color="auto" w:fill="auto"/>
          </w:tcPr>
          <w:p w14:paraId="0B0BF44E" w14:textId="77777777" w:rsidR="0049013E" w:rsidRPr="00ED5AD0" w:rsidRDefault="0049013E" w:rsidP="000B7EF4">
            <w:pPr>
              <w:rPr>
                <w:rFonts w:eastAsia="Calibri"/>
                <w:szCs w:val="22"/>
              </w:rPr>
            </w:pPr>
          </w:p>
        </w:tc>
        <w:tc>
          <w:tcPr>
            <w:tcW w:w="1276" w:type="dxa"/>
            <w:shd w:val="clear" w:color="auto" w:fill="auto"/>
          </w:tcPr>
          <w:p w14:paraId="64A7FAEC" w14:textId="77777777" w:rsidR="0049013E" w:rsidRPr="00ED5AD0" w:rsidRDefault="0049013E" w:rsidP="000B7EF4">
            <w:pPr>
              <w:rPr>
                <w:rFonts w:eastAsia="Calibri"/>
                <w:szCs w:val="22"/>
              </w:rPr>
            </w:pPr>
          </w:p>
        </w:tc>
        <w:tc>
          <w:tcPr>
            <w:tcW w:w="7087" w:type="dxa"/>
            <w:shd w:val="clear" w:color="auto" w:fill="auto"/>
          </w:tcPr>
          <w:p w14:paraId="1B521E7B" w14:textId="77777777" w:rsidR="0049013E" w:rsidRPr="00ED5AD0" w:rsidRDefault="0049013E" w:rsidP="000B7EF4">
            <w:pPr>
              <w:rPr>
                <w:rFonts w:eastAsia="Calibri"/>
                <w:szCs w:val="22"/>
              </w:rPr>
            </w:pPr>
          </w:p>
        </w:tc>
      </w:tr>
      <w:tr w:rsidR="0049013E" w:rsidRPr="00ED5AD0" w14:paraId="7156AD5B" w14:textId="77777777" w:rsidTr="000B7EF4">
        <w:tc>
          <w:tcPr>
            <w:tcW w:w="3969" w:type="dxa"/>
            <w:shd w:val="clear" w:color="auto" w:fill="auto"/>
          </w:tcPr>
          <w:p w14:paraId="0CB9FFCA" w14:textId="77777777" w:rsidR="0049013E" w:rsidRPr="00ED5AD0" w:rsidRDefault="0049013E" w:rsidP="000B7EF4">
            <w:pPr>
              <w:rPr>
                <w:rFonts w:eastAsia="Calibri"/>
                <w:sz w:val="20"/>
              </w:rPr>
            </w:pPr>
            <w:r w:rsidRPr="00ED5AD0">
              <w:rPr>
                <w:rFonts w:eastAsia="Calibri"/>
                <w:sz w:val="20"/>
              </w:rPr>
              <w:t>The provision of sound electoral process and practice.</w:t>
            </w:r>
          </w:p>
          <w:p w14:paraId="5696AC0B" w14:textId="77777777" w:rsidR="0049013E" w:rsidRPr="00ED5AD0" w:rsidRDefault="0049013E" w:rsidP="000B7EF4">
            <w:pPr>
              <w:rPr>
                <w:rFonts w:eastAsia="Calibri"/>
                <w:sz w:val="20"/>
              </w:rPr>
            </w:pPr>
          </w:p>
        </w:tc>
        <w:tc>
          <w:tcPr>
            <w:tcW w:w="1276" w:type="dxa"/>
            <w:shd w:val="clear" w:color="auto" w:fill="auto"/>
          </w:tcPr>
          <w:p w14:paraId="6D52FCA8" w14:textId="77777777" w:rsidR="0049013E" w:rsidRPr="00ED5AD0" w:rsidRDefault="0049013E" w:rsidP="000B7EF4">
            <w:pPr>
              <w:rPr>
                <w:rFonts w:eastAsia="Calibri"/>
                <w:szCs w:val="22"/>
              </w:rPr>
            </w:pPr>
          </w:p>
        </w:tc>
        <w:tc>
          <w:tcPr>
            <w:tcW w:w="1276" w:type="dxa"/>
            <w:shd w:val="clear" w:color="auto" w:fill="auto"/>
          </w:tcPr>
          <w:p w14:paraId="23B3B0FE" w14:textId="77777777" w:rsidR="0049013E" w:rsidRPr="00ED5AD0" w:rsidRDefault="0049013E" w:rsidP="000B7EF4">
            <w:pPr>
              <w:rPr>
                <w:rFonts w:eastAsia="Calibri"/>
                <w:szCs w:val="22"/>
              </w:rPr>
            </w:pPr>
          </w:p>
        </w:tc>
        <w:tc>
          <w:tcPr>
            <w:tcW w:w="1276" w:type="dxa"/>
            <w:shd w:val="clear" w:color="auto" w:fill="auto"/>
          </w:tcPr>
          <w:p w14:paraId="3F99D2C5" w14:textId="77777777" w:rsidR="0049013E" w:rsidRPr="00ED5AD0" w:rsidRDefault="0049013E" w:rsidP="000B7EF4">
            <w:pPr>
              <w:rPr>
                <w:rFonts w:eastAsia="Calibri"/>
                <w:szCs w:val="22"/>
              </w:rPr>
            </w:pPr>
          </w:p>
        </w:tc>
        <w:tc>
          <w:tcPr>
            <w:tcW w:w="7087" w:type="dxa"/>
            <w:shd w:val="clear" w:color="auto" w:fill="auto"/>
          </w:tcPr>
          <w:p w14:paraId="0B37A8E2" w14:textId="77777777" w:rsidR="0049013E" w:rsidRPr="00ED5AD0" w:rsidRDefault="0049013E" w:rsidP="000B7EF4">
            <w:pPr>
              <w:rPr>
                <w:rFonts w:eastAsia="Calibri"/>
                <w:szCs w:val="22"/>
              </w:rPr>
            </w:pPr>
          </w:p>
        </w:tc>
      </w:tr>
      <w:tr w:rsidR="0049013E" w:rsidRPr="00ED5AD0" w14:paraId="2B28F2FF" w14:textId="77777777" w:rsidTr="000B7EF4">
        <w:tc>
          <w:tcPr>
            <w:tcW w:w="3969" w:type="dxa"/>
            <w:shd w:val="clear" w:color="auto" w:fill="auto"/>
          </w:tcPr>
          <w:p w14:paraId="2545724C" w14:textId="77777777" w:rsidR="0049013E" w:rsidRPr="00ED5AD0" w:rsidRDefault="0049013E" w:rsidP="000B7EF4">
            <w:pPr>
              <w:rPr>
                <w:rFonts w:eastAsia="Calibri"/>
                <w:sz w:val="20"/>
              </w:rPr>
            </w:pPr>
            <w:r w:rsidRPr="00ED5AD0">
              <w:rPr>
                <w:rFonts w:eastAsia="Calibri"/>
                <w:sz w:val="20"/>
              </w:rPr>
              <w:t>How effectively the Council’s services have been delivered within budget and as described within the Gedling Plan.</w:t>
            </w:r>
          </w:p>
        </w:tc>
        <w:tc>
          <w:tcPr>
            <w:tcW w:w="1276" w:type="dxa"/>
            <w:shd w:val="clear" w:color="auto" w:fill="auto"/>
          </w:tcPr>
          <w:p w14:paraId="743E995C" w14:textId="77777777" w:rsidR="0049013E" w:rsidRPr="00ED5AD0" w:rsidRDefault="0049013E" w:rsidP="000B7EF4">
            <w:pPr>
              <w:rPr>
                <w:rFonts w:eastAsia="Calibri"/>
                <w:szCs w:val="22"/>
              </w:rPr>
            </w:pPr>
          </w:p>
        </w:tc>
        <w:tc>
          <w:tcPr>
            <w:tcW w:w="1276" w:type="dxa"/>
            <w:shd w:val="clear" w:color="auto" w:fill="auto"/>
          </w:tcPr>
          <w:p w14:paraId="208E50C4" w14:textId="77777777" w:rsidR="0049013E" w:rsidRPr="00ED5AD0" w:rsidRDefault="0049013E" w:rsidP="000B7EF4">
            <w:pPr>
              <w:rPr>
                <w:rFonts w:eastAsia="Calibri"/>
                <w:szCs w:val="22"/>
              </w:rPr>
            </w:pPr>
          </w:p>
        </w:tc>
        <w:tc>
          <w:tcPr>
            <w:tcW w:w="1276" w:type="dxa"/>
            <w:shd w:val="clear" w:color="auto" w:fill="auto"/>
          </w:tcPr>
          <w:p w14:paraId="0EBD29E0" w14:textId="77777777" w:rsidR="0049013E" w:rsidRPr="00ED5AD0" w:rsidRDefault="0049013E" w:rsidP="000B7EF4">
            <w:pPr>
              <w:rPr>
                <w:rFonts w:eastAsia="Calibri"/>
                <w:szCs w:val="22"/>
              </w:rPr>
            </w:pPr>
          </w:p>
        </w:tc>
        <w:tc>
          <w:tcPr>
            <w:tcW w:w="7087" w:type="dxa"/>
            <w:shd w:val="clear" w:color="auto" w:fill="auto"/>
          </w:tcPr>
          <w:p w14:paraId="09FC3279" w14:textId="77777777" w:rsidR="0049013E" w:rsidRPr="00ED5AD0" w:rsidRDefault="0049013E" w:rsidP="000B7EF4">
            <w:pPr>
              <w:rPr>
                <w:rFonts w:eastAsia="Calibri"/>
                <w:szCs w:val="22"/>
              </w:rPr>
            </w:pPr>
          </w:p>
        </w:tc>
      </w:tr>
      <w:tr w:rsidR="0049013E" w:rsidRPr="00ED5AD0" w14:paraId="1CA6DA11" w14:textId="77777777" w:rsidTr="000B7EF4">
        <w:tc>
          <w:tcPr>
            <w:tcW w:w="3969" w:type="dxa"/>
            <w:shd w:val="clear" w:color="auto" w:fill="auto"/>
          </w:tcPr>
          <w:p w14:paraId="5CFEEC76" w14:textId="77777777" w:rsidR="0049013E" w:rsidRPr="00ED5AD0" w:rsidRDefault="0049013E" w:rsidP="000B7EF4">
            <w:pPr>
              <w:rPr>
                <w:rFonts w:eastAsia="Calibri"/>
                <w:sz w:val="20"/>
              </w:rPr>
            </w:pPr>
            <w:r w:rsidRPr="00ED5AD0">
              <w:rPr>
                <w:rFonts w:eastAsia="Calibri"/>
                <w:sz w:val="20"/>
              </w:rPr>
              <w:lastRenderedPageBreak/>
              <w:t xml:space="preserve">Expectations for delivery of key objectives or tasks to be delivered during the coming year to which the ACSC wishes to draw particular attention. </w:t>
            </w:r>
          </w:p>
          <w:p w14:paraId="3AC2642D" w14:textId="77777777" w:rsidR="0049013E" w:rsidRPr="00ED5AD0" w:rsidRDefault="0049013E" w:rsidP="000B7EF4">
            <w:pPr>
              <w:rPr>
                <w:rFonts w:eastAsia="Calibri"/>
                <w:sz w:val="20"/>
              </w:rPr>
            </w:pPr>
          </w:p>
        </w:tc>
        <w:tc>
          <w:tcPr>
            <w:tcW w:w="10915" w:type="dxa"/>
            <w:gridSpan w:val="4"/>
            <w:shd w:val="clear" w:color="auto" w:fill="auto"/>
          </w:tcPr>
          <w:p w14:paraId="4E89EF1C" w14:textId="77777777" w:rsidR="0049013E" w:rsidRPr="00ED5AD0" w:rsidRDefault="0049013E" w:rsidP="000B7EF4">
            <w:pPr>
              <w:rPr>
                <w:rFonts w:eastAsia="Calibri"/>
                <w:szCs w:val="22"/>
              </w:rPr>
            </w:pPr>
          </w:p>
        </w:tc>
      </w:tr>
      <w:tr w:rsidR="0049013E" w:rsidRPr="00ED5AD0" w14:paraId="1C4B5EF6" w14:textId="77777777" w:rsidTr="000B7EF4">
        <w:tc>
          <w:tcPr>
            <w:tcW w:w="3969" w:type="dxa"/>
            <w:shd w:val="clear" w:color="auto" w:fill="auto"/>
          </w:tcPr>
          <w:p w14:paraId="4808904C" w14:textId="77777777" w:rsidR="0049013E" w:rsidRPr="00ED5AD0" w:rsidRDefault="0049013E" w:rsidP="000B7EF4">
            <w:pPr>
              <w:rPr>
                <w:rFonts w:eastAsia="Calibri"/>
                <w:sz w:val="20"/>
              </w:rPr>
            </w:pPr>
            <w:r w:rsidRPr="00ED5AD0">
              <w:rPr>
                <w:rFonts w:eastAsia="Calibri"/>
                <w:sz w:val="20"/>
              </w:rPr>
              <w:t>Potential personal development needs identified by the ACSC for discussion with the Chief Executive</w:t>
            </w:r>
          </w:p>
          <w:p w14:paraId="0B949073" w14:textId="77777777" w:rsidR="0049013E" w:rsidRPr="00ED5AD0" w:rsidRDefault="0049013E" w:rsidP="000B7EF4">
            <w:pPr>
              <w:rPr>
                <w:rFonts w:eastAsia="Calibri"/>
                <w:sz w:val="20"/>
              </w:rPr>
            </w:pPr>
          </w:p>
          <w:p w14:paraId="5D764146" w14:textId="77777777" w:rsidR="0049013E" w:rsidRPr="00ED5AD0" w:rsidRDefault="0049013E" w:rsidP="000B7EF4">
            <w:pPr>
              <w:rPr>
                <w:rFonts w:eastAsia="Calibri"/>
                <w:sz w:val="20"/>
              </w:rPr>
            </w:pPr>
          </w:p>
        </w:tc>
        <w:tc>
          <w:tcPr>
            <w:tcW w:w="10915" w:type="dxa"/>
            <w:gridSpan w:val="4"/>
            <w:shd w:val="clear" w:color="auto" w:fill="auto"/>
          </w:tcPr>
          <w:p w14:paraId="1CB30ECC" w14:textId="77777777" w:rsidR="0049013E" w:rsidRPr="00ED5AD0" w:rsidRDefault="0049013E" w:rsidP="000B7EF4">
            <w:pPr>
              <w:rPr>
                <w:rFonts w:eastAsia="Calibri"/>
                <w:szCs w:val="22"/>
              </w:rPr>
            </w:pPr>
          </w:p>
        </w:tc>
      </w:tr>
    </w:tbl>
    <w:p w14:paraId="1286B559" w14:textId="77777777" w:rsidR="0049013E" w:rsidRPr="00ED5AD0" w:rsidRDefault="0049013E" w:rsidP="0049013E">
      <w:pPr>
        <w:rPr>
          <w:rFonts w:eastAsia="Calibri"/>
          <w:szCs w:val="22"/>
        </w:rPr>
      </w:pPr>
    </w:p>
    <w:p w14:paraId="54E7D0BA" w14:textId="77777777" w:rsidR="0049013E" w:rsidRPr="00ED5AD0" w:rsidRDefault="0049013E" w:rsidP="0049013E">
      <w:pPr>
        <w:rPr>
          <w:b/>
          <w:sz w:val="32"/>
          <w:szCs w:val="32"/>
        </w:rPr>
      </w:pPr>
      <w:r w:rsidRPr="00ED5AD0">
        <w:rPr>
          <w:b/>
          <w:sz w:val="32"/>
          <w:szCs w:val="32"/>
        </w:rPr>
        <w:t>Chief Executive’s Pay:</w:t>
      </w:r>
    </w:p>
    <w:p w14:paraId="5C3F4EA7" w14:textId="77777777" w:rsidR="0049013E" w:rsidRPr="00ED5AD0" w:rsidRDefault="008A2D13" w:rsidP="0049013E">
      <w:pPr>
        <w:rPr>
          <w:sz w:val="22"/>
          <w:szCs w:val="22"/>
        </w:rPr>
      </w:pPr>
      <w:r w:rsidRPr="00ED5AD0">
        <w:rPr>
          <w:noProof/>
          <w:lang w:eastAsia="en-GB"/>
        </w:rPr>
        <mc:AlternateContent>
          <mc:Choice Requires="wps">
            <w:drawing>
              <wp:anchor distT="0" distB="0" distL="114300" distR="114300" simplePos="0" relativeHeight="251656192" behindDoc="0" locked="0" layoutInCell="1" allowOverlap="1" wp14:anchorId="36FB9243" wp14:editId="6C26E4CF">
                <wp:simplePos x="0" y="0"/>
                <wp:positionH relativeFrom="column">
                  <wp:posOffset>7021195</wp:posOffset>
                </wp:positionH>
                <wp:positionV relativeFrom="paragraph">
                  <wp:posOffset>367030</wp:posOffset>
                </wp:positionV>
                <wp:extent cx="276225" cy="265430"/>
                <wp:effectExtent l="0" t="0" r="9525" b="12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C96B" id="Rectangle 4" o:spid="_x0000_s1026" style="position:absolute;margin-left:552.85pt;margin-top:28.9pt;width:21.75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"/>
            </w:pict>
          </mc:Fallback>
        </mc:AlternateContent>
      </w:r>
      <w:r w:rsidR="0049013E" w:rsidRPr="00ED5AD0">
        <w:rPr>
          <w:sz w:val="22"/>
          <w:szCs w:val="22"/>
        </w:rPr>
        <w:t xml:space="preserve">In accordance with the approved local pay and performance policy for the Chief Executive, the Appointment and Conditions of Service Committee authorises the Chief Executive’s </w:t>
      </w:r>
      <w:proofErr w:type="gramStart"/>
      <w:r w:rsidR="0049013E" w:rsidRPr="00ED5AD0">
        <w:rPr>
          <w:sz w:val="22"/>
          <w:szCs w:val="22"/>
        </w:rPr>
        <w:t>pay</w:t>
      </w:r>
      <w:proofErr w:type="gramEnd"/>
      <w:r w:rsidR="0049013E" w:rsidRPr="00ED5AD0">
        <w:rPr>
          <w:sz w:val="22"/>
          <w:szCs w:val="22"/>
        </w:rPr>
        <w:t xml:space="preserve"> to be either:</w:t>
      </w:r>
    </w:p>
    <w:p w14:paraId="03B949C4" w14:textId="77777777" w:rsidR="0049013E" w:rsidRPr="00ED5AD0" w:rsidRDefault="0049013E" w:rsidP="0049013E">
      <w:pPr>
        <w:rPr>
          <w:sz w:val="22"/>
          <w:szCs w:val="22"/>
        </w:rPr>
      </w:pPr>
      <w:r w:rsidRPr="00ED5AD0">
        <w:rPr>
          <w:sz w:val="22"/>
          <w:szCs w:val="22"/>
        </w:rPr>
        <w:t xml:space="preserve">Moved to the next point within the pay scale or maintained at the top pay point </w:t>
      </w:r>
    </w:p>
    <w:p w14:paraId="764FA9A9" w14:textId="77777777" w:rsidR="0049013E" w:rsidRPr="00ED5AD0" w:rsidRDefault="008A2D13" w:rsidP="0049013E">
      <w:pPr>
        <w:rPr>
          <w:sz w:val="22"/>
          <w:szCs w:val="22"/>
        </w:rPr>
      </w:pPr>
      <w:r w:rsidRPr="00ED5AD0">
        <w:rPr>
          <w:noProof/>
          <w:lang w:eastAsia="en-GB"/>
        </w:rPr>
        <mc:AlternateContent>
          <mc:Choice Requires="wps">
            <w:drawing>
              <wp:anchor distT="0" distB="0" distL="114300" distR="114300" simplePos="0" relativeHeight="251657216" behindDoc="0" locked="0" layoutInCell="1" allowOverlap="1" wp14:anchorId="2B24DC8D" wp14:editId="402DD0BC">
                <wp:simplePos x="0" y="0"/>
                <wp:positionH relativeFrom="column">
                  <wp:posOffset>7021195</wp:posOffset>
                </wp:positionH>
                <wp:positionV relativeFrom="paragraph">
                  <wp:posOffset>157480</wp:posOffset>
                </wp:positionV>
                <wp:extent cx="276225" cy="265430"/>
                <wp:effectExtent l="0" t="0" r="952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A0910" id="Rectangle 5" o:spid="_x0000_s1026" style="position:absolute;margin-left:552.85pt;margin-top:12.4pt;width:21.75pt;height:2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"/>
            </w:pict>
          </mc:Fallback>
        </mc:AlternateContent>
      </w:r>
      <w:r w:rsidR="0049013E" w:rsidRPr="00ED5AD0">
        <w:rPr>
          <w:sz w:val="22"/>
          <w:szCs w:val="22"/>
        </w:rPr>
        <w:t>Or</w:t>
      </w:r>
    </w:p>
    <w:p w14:paraId="692CA0D8" w14:textId="77777777" w:rsidR="0049013E" w:rsidRPr="00ED5AD0" w:rsidRDefault="0049013E" w:rsidP="0049013E">
      <w:pPr>
        <w:rPr>
          <w:sz w:val="22"/>
          <w:szCs w:val="22"/>
        </w:rPr>
      </w:pPr>
      <w:r w:rsidRPr="00ED5AD0">
        <w:rPr>
          <w:sz w:val="22"/>
          <w:szCs w:val="22"/>
        </w:rPr>
        <w:t xml:space="preserve">Frozen at the current pay point (or reduced from the top pay point to the middle point) </w:t>
      </w:r>
    </w:p>
    <w:p w14:paraId="70236066" w14:textId="77777777" w:rsidR="0049013E" w:rsidRPr="00ED5AD0" w:rsidRDefault="0049013E" w:rsidP="0049013E">
      <w:pPr>
        <w:rPr>
          <w:sz w:val="22"/>
          <w:szCs w:val="22"/>
        </w:rPr>
      </w:pPr>
    </w:p>
    <w:p w14:paraId="18361268" w14:textId="77777777" w:rsidR="0049013E" w:rsidRPr="00ED5AD0" w:rsidRDefault="0049013E" w:rsidP="0049013E">
      <w:pPr>
        <w:rPr>
          <w:sz w:val="22"/>
          <w:szCs w:val="22"/>
        </w:rPr>
      </w:pPr>
      <w:r w:rsidRPr="00ED5AD0">
        <w:rPr>
          <w:sz w:val="22"/>
          <w:szCs w:val="22"/>
        </w:rPr>
        <w:t>This decision will be reviewed either in:</w:t>
      </w:r>
    </w:p>
    <w:p w14:paraId="6D6CE23D" w14:textId="77777777" w:rsidR="0049013E" w:rsidRPr="00ED5AD0" w:rsidRDefault="008A2D13" w:rsidP="0049013E">
      <w:pPr>
        <w:rPr>
          <w:sz w:val="22"/>
          <w:szCs w:val="22"/>
        </w:rPr>
      </w:pPr>
      <w:r w:rsidRPr="00ED5AD0">
        <w:rPr>
          <w:noProof/>
          <w:lang w:eastAsia="en-GB"/>
        </w:rPr>
        <mc:AlternateContent>
          <mc:Choice Requires="wps">
            <w:drawing>
              <wp:anchor distT="0" distB="0" distL="114300" distR="114300" simplePos="0" relativeHeight="251658240" behindDoc="0" locked="0" layoutInCell="1" allowOverlap="1" wp14:anchorId="38AD8906" wp14:editId="746E8504">
                <wp:simplePos x="0" y="0"/>
                <wp:positionH relativeFrom="column">
                  <wp:posOffset>2324735</wp:posOffset>
                </wp:positionH>
                <wp:positionV relativeFrom="paragraph">
                  <wp:posOffset>58420</wp:posOffset>
                </wp:positionV>
                <wp:extent cx="276225" cy="265430"/>
                <wp:effectExtent l="0" t="0" r="9525" b="12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24CE" id="Rectangle 6" o:spid="_x0000_s1026" style="position:absolute;margin-left:183.05pt;margin-top:4.6pt;width:21.7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"/>
            </w:pict>
          </mc:Fallback>
        </mc:AlternateContent>
      </w:r>
      <w:r w:rsidR="0049013E" w:rsidRPr="00ED5AD0">
        <w:rPr>
          <w:sz w:val="22"/>
          <w:szCs w:val="22"/>
        </w:rPr>
        <w:t xml:space="preserve">One year </w:t>
      </w:r>
    </w:p>
    <w:p w14:paraId="053042CA" w14:textId="77777777" w:rsidR="0049013E" w:rsidRPr="00ED5AD0" w:rsidRDefault="0049013E" w:rsidP="0049013E">
      <w:pPr>
        <w:rPr>
          <w:sz w:val="22"/>
          <w:szCs w:val="22"/>
        </w:rPr>
      </w:pPr>
      <w:r w:rsidRPr="00ED5AD0">
        <w:rPr>
          <w:sz w:val="22"/>
          <w:szCs w:val="22"/>
        </w:rPr>
        <w:t>Or</w:t>
      </w:r>
    </w:p>
    <w:p w14:paraId="277EDFFA" w14:textId="77777777" w:rsidR="0049013E" w:rsidRPr="00ED5AD0" w:rsidRDefault="008A2D13" w:rsidP="0049013E">
      <w:pPr>
        <w:rPr>
          <w:sz w:val="22"/>
          <w:szCs w:val="22"/>
        </w:rPr>
      </w:pPr>
      <w:r w:rsidRPr="00ED5AD0">
        <w:rPr>
          <w:noProof/>
          <w:lang w:eastAsia="en-GB"/>
        </w:rPr>
        <mc:AlternateContent>
          <mc:Choice Requires="wps">
            <w:drawing>
              <wp:anchor distT="4294967295" distB="4294967295" distL="114300" distR="114300" simplePos="0" relativeHeight="251659264" behindDoc="0" locked="0" layoutInCell="1" allowOverlap="1" wp14:anchorId="4EF1E27D" wp14:editId="308AAEF3">
                <wp:simplePos x="0" y="0"/>
                <wp:positionH relativeFrom="column">
                  <wp:posOffset>2324735</wp:posOffset>
                </wp:positionH>
                <wp:positionV relativeFrom="paragraph">
                  <wp:posOffset>160019</wp:posOffset>
                </wp:positionV>
                <wp:extent cx="1364615" cy="0"/>
                <wp:effectExtent l="0" t="0" r="6985"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31EE93" id="_x0000_t32" coordsize="21600,21600" o:spt="32" o:oned="t" path="m,l21600,21600e" filled="f">
                <v:path arrowok="t" fillok="f" o:connecttype="none"/>
                <o:lock v:ext="edit" shapetype="t"/>
              </v:shapetype>
              <v:shape id="AutoShape 7" o:spid="_x0000_s1026" type="#_x0000_t32" style="position:absolute;margin-left:183.05pt;margin-top:12.6pt;width:107.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"/>
            </w:pict>
          </mc:Fallback>
        </mc:AlternateContent>
      </w:r>
      <w:r w:rsidR="0049013E" w:rsidRPr="00ED5AD0">
        <w:rPr>
          <w:sz w:val="22"/>
          <w:szCs w:val="22"/>
        </w:rPr>
        <w:t xml:space="preserve">At an earlier date which is:     </w:t>
      </w:r>
    </w:p>
    <w:p w14:paraId="4963542F" w14:textId="77777777" w:rsidR="0049013E" w:rsidRPr="00ED5AD0" w:rsidRDefault="0049013E" w:rsidP="0049013E">
      <w:pPr>
        <w:rPr>
          <w:sz w:val="22"/>
          <w:szCs w:val="22"/>
        </w:rPr>
      </w:pPr>
    </w:p>
    <w:p w14:paraId="02A16B2A" w14:textId="77777777" w:rsidR="0049013E" w:rsidRPr="00ED5AD0" w:rsidRDefault="008A2D13" w:rsidP="0049013E">
      <w:pPr>
        <w:rPr>
          <w:sz w:val="22"/>
          <w:szCs w:val="22"/>
        </w:rPr>
      </w:pPr>
      <w:r w:rsidRPr="00ED5AD0">
        <w:rPr>
          <w:noProof/>
          <w:lang w:eastAsia="en-GB"/>
        </w:rPr>
        <mc:AlternateContent>
          <mc:Choice Requires="wps">
            <w:drawing>
              <wp:anchor distT="0" distB="0" distL="114300" distR="114300" simplePos="0" relativeHeight="251660288" behindDoc="0" locked="0" layoutInCell="1" allowOverlap="1" wp14:anchorId="53667C70" wp14:editId="1DC0BE90">
                <wp:simplePos x="0" y="0"/>
                <wp:positionH relativeFrom="column">
                  <wp:posOffset>6308725</wp:posOffset>
                </wp:positionH>
                <wp:positionV relativeFrom="paragraph">
                  <wp:posOffset>154940</wp:posOffset>
                </wp:positionV>
                <wp:extent cx="2516505" cy="635"/>
                <wp:effectExtent l="0" t="0" r="17145" b="184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6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896B1" id="AutoShape 8" o:spid="_x0000_s1026" type="#_x0000_t32" style="position:absolute;margin-left:496.75pt;margin-top:12.2pt;width:198.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"/>
            </w:pict>
          </mc:Fallback>
        </mc:AlternateContent>
      </w:r>
      <w:r w:rsidR="0049013E" w:rsidRPr="00ED5AD0">
        <w:rPr>
          <w:sz w:val="22"/>
          <w:szCs w:val="22"/>
        </w:rPr>
        <w:t xml:space="preserve">Signed by the Chair of the Appointments and Condition of Service Committee:  </w:t>
      </w:r>
    </w:p>
    <w:p w14:paraId="0598E6CE" w14:textId="77777777" w:rsidR="0049013E" w:rsidRPr="00ED5AD0" w:rsidRDefault="0049013E" w:rsidP="0049013E">
      <w:pPr>
        <w:ind w:left="426" w:right="283"/>
        <w:jc w:val="both"/>
        <w:rPr>
          <w:sz w:val="22"/>
          <w:szCs w:val="22"/>
        </w:rPr>
      </w:pPr>
      <w:r w:rsidRPr="00ED5AD0">
        <w:rPr>
          <w:sz w:val="22"/>
          <w:szCs w:val="22"/>
        </w:rPr>
        <w:t xml:space="preserve">This record will be retained on the Chief Executive’s personal file.  </w:t>
      </w:r>
    </w:p>
    <w:p w14:paraId="55DB1752" w14:textId="77777777" w:rsidR="0049013E" w:rsidRPr="00ED5AD0" w:rsidRDefault="0049013E" w:rsidP="0049013E">
      <w:pPr>
        <w:ind w:left="426" w:right="283"/>
        <w:jc w:val="both"/>
        <w:rPr>
          <w:sz w:val="28"/>
          <w:szCs w:val="28"/>
        </w:rPr>
      </w:pPr>
    </w:p>
    <w:p w14:paraId="511A953F" w14:textId="77777777" w:rsidR="0049013E" w:rsidRPr="00ED5AD0" w:rsidRDefault="0049013E" w:rsidP="0049013E">
      <w:pPr>
        <w:ind w:left="426" w:right="283"/>
        <w:jc w:val="both"/>
        <w:rPr>
          <w:sz w:val="28"/>
          <w:szCs w:val="28"/>
        </w:rPr>
      </w:pPr>
    </w:p>
    <w:p w14:paraId="03DC7519" w14:textId="77777777" w:rsidR="0049013E" w:rsidRPr="00ED5AD0" w:rsidRDefault="0049013E" w:rsidP="0049013E">
      <w:pPr>
        <w:ind w:left="426" w:right="283"/>
        <w:jc w:val="both"/>
        <w:sectPr w:rsidR="0049013E" w:rsidRPr="00ED5AD0" w:rsidSect="0049013E">
          <w:pgSz w:w="16838" w:h="11906" w:orient="landscape"/>
          <w:pgMar w:top="1440" w:right="992" w:bottom="1440" w:left="1440" w:header="289" w:footer="720" w:gutter="0"/>
          <w:cols w:space="720"/>
          <w:docGrid w:linePitch="326"/>
        </w:sectPr>
      </w:pPr>
    </w:p>
    <w:p w14:paraId="3B84E014" w14:textId="77777777" w:rsidR="001A57CF" w:rsidRPr="00ED5AD0" w:rsidRDefault="001A57CF" w:rsidP="00DB62C7">
      <w:pPr>
        <w:ind w:left="426" w:right="283"/>
      </w:pPr>
    </w:p>
    <w:p w14:paraId="7395283E" w14:textId="77777777" w:rsidR="00CB37B8" w:rsidRPr="00ED5AD0" w:rsidRDefault="00CB37B8" w:rsidP="00CB37B8"/>
    <w:p w14:paraId="3C35CF94" w14:textId="791E1988" w:rsidR="00481EEA" w:rsidRPr="00ED5AD0" w:rsidRDefault="00F7584B" w:rsidP="00DB62C7">
      <w:pPr>
        <w:ind w:left="426" w:right="283"/>
        <w:jc w:val="right"/>
        <w:rPr>
          <w:b/>
          <w:bCs/>
        </w:rPr>
      </w:pPr>
      <w:r w:rsidRPr="00ED5AD0">
        <w:rPr>
          <w:b/>
          <w:bCs/>
        </w:rPr>
        <w:t xml:space="preserve">Appendix </w:t>
      </w:r>
      <w:r w:rsidR="00F74C5A" w:rsidRPr="00ED5AD0">
        <w:rPr>
          <w:b/>
          <w:bCs/>
        </w:rPr>
        <w:t>J</w:t>
      </w:r>
    </w:p>
    <w:p w14:paraId="776940BF" w14:textId="77777777" w:rsidR="00F7584B" w:rsidRPr="00ED5AD0" w:rsidRDefault="00F7584B" w:rsidP="00DB62C7">
      <w:pPr>
        <w:ind w:left="426" w:right="283"/>
        <w:rPr>
          <w:b/>
        </w:rPr>
      </w:pPr>
    </w:p>
    <w:p w14:paraId="1BE5D361" w14:textId="77777777" w:rsidR="00F7584B" w:rsidRPr="00ED5AD0" w:rsidRDefault="00F7584B" w:rsidP="00DB62C7">
      <w:pPr>
        <w:ind w:left="426" w:right="283"/>
        <w:rPr>
          <w:b/>
        </w:rPr>
      </w:pPr>
    </w:p>
    <w:p w14:paraId="5AEAEA9B" w14:textId="77777777" w:rsidR="00F7584B" w:rsidRPr="00ED5AD0" w:rsidRDefault="00F7584B" w:rsidP="00DB62C7">
      <w:pPr>
        <w:ind w:left="426" w:right="283"/>
        <w:rPr>
          <w:b/>
          <w:sz w:val="28"/>
          <w:szCs w:val="28"/>
        </w:rPr>
      </w:pPr>
      <w:r w:rsidRPr="00ED5AD0">
        <w:rPr>
          <w:b/>
          <w:sz w:val="28"/>
          <w:szCs w:val="28"/>
        </w:rPr>
        <w:t>Pay Protection Policy</w:t>
      </w:r>
    </w:p>
    <w:p w14:paraId="01372942" w14:textId="77777777" w:rsidR="00F7584B" w:rsidRPr="00ED5AD0" w:rsidRDefault="00F7584B" w:rsidP="00DB62C7">
      <w:pPr>
        <w:spacing w:before="120" w:after="120"/>
        <w:ind w:left="426" w:right="283"/>
        <w:jc w:val="both"/>
      </w:pPr>
      <w:r w:rsidRPr="00ED5AD0">
        <w:t xml:space="preserve">The general policy of the Council is that pay protection is applied over a </w:t>
      </w:r>
      <w:proofErr w:type="gramStart"/>
      <w:r w:rsidR="00054E37" w:rsidRPr="00ED5AD0">
        <w:t>two</w:t>
      </w:r>
      <w:r w:rsidRPr="00ED5AD0">
        <w:t xml:space="preserve"> year</w:t>
      </w:r>
      <w:proofErr w:type="gramEnd"/>
      <w:r w:rsidRPr="00ED5AD0">
        <w:t xml:space="preserve"> period at a protected rate of 100% in the first </w:t>
      </w:r>
      <w:r w:rsidR="0049013E" w:rsidRPr="00ED5AD0">
        <w:t xml:space="preserve">12 months and 50% </w:t>
      </w:r>
      <w:r w:rsidRPr="00ED5AD0">
        <w:t>in the second 12 months from the date of commencing a post at a lower grade.</w:t>
      </w:r>
    </w:p>
    <w:p w14:paraId="3C368080" w14:textId="0614640E" w:rsidR="00F7584B" w:rsidRPr="00ED5AD0" w:rsidRDefault="003A209D" w:rsidP="00DB62C7">
      <w:pPr>
        <w:ind w:left="426" w:right="283"/>
        <w:jc w:val="right"/>
        <w:rPr>
          <w:b/>
          <w:bCs/>
        </w:rPr>
      </w:pPr>
      <w:r w:rsidRPr="00ED5AD0">
        <w:br w:type="page"/>
      </w:r>
      <w:r w:rsidR="00BE05CC" w:rsidRPr="00ED5AD0">
        <w:rPr>
          <w:b/>
          <w:bCs/>
        </w:rPr>
        <w:lastRenderedPageBreak/>
        <w:t xml:space="preserve">Appendix </w:t>
      </w:r>
      <w:r w:rsidR="00F74C5A" w:rsidRPr="00ED5AD0">
        <w:rPr>
          <w:b/>
          <w:bCs/>
        </w:rPr>
        <w:t>K</w:t>
      </w:r>
    </w:p>
    <w:p w14:paraId="11EC78D5" w14:textId="77777777" w:rsidR="003A209D" w:rsidRPr="00ED5AD0" w:rsidRDefault="003A209D" w:rsidP="00DB62C7">
      <w:pPr>
        <w:ind w:left="426" w:right="283"/>
        <w:jc w:val="right"/>
      </w:pPr>
    </w:p>
    <w:p w14:paraId="37E44983" w14:textId="77777777" w:rsidR="00581587" w:rsidRPr="00ED5AD0" w:rsidRDefault="00581587" w:rsidP="00581587">
      <w:pPr>
        <w:widowControl w:val="0"/>
        <w:jc w:val="center"/>
        <w:rPr>
          <w:b/>
          <w:bCs/>
          <w:snapToGrid w:val="0"/>
        </w:rPr>
      </w:pPr>
      <w:r w:rsidRPr="00ED5AD0">
        <w:rPr>
          <w:b/>
          <w:bCs/>
          <w:snapToGrid w:val="0"/>
        </w:rPr>
        <w:t>EARLY RETIREMENT AND REDUNDANCY POLICY</w:t>
      </w:r>
    </w:p>
    <w:p w14:paraId="4BE50107" w14:textId="77777777" w:rsidR="00581587" w:rsidRPr="00ED5AD0" w:rsidRDefault="00581587" w:rsidP="00581587">
      <w:pPr>
        <w:widowControl w:val="0"/>
        <w:rPr>
          <w:b/>
          <w:bCs/>
          <w:snapToGrid w:val="0"/>
          <w:u w:val="single"/>
        </w:rPr>
      </w:pPr>
    </w:p>
    <w:p w14:paraId="2B654C9A" w14:textId="77777777" w:rsidR="00581587" w:rsidRPr="00ED5AD0" w:rsidRDefault="00581587" w:rsidP="00581587">
      <w:pPr>
        <w:widowControl w:val="0"/>
        <w:rPr>
          <w:bCs/>
          <w:snapToGrid w:val="0"/>
        </w:rPr>
      </w:pPr>
      <w:r w:rsidRPr="00ED5AD0">
        <w:rPr>
          <w:bCs/>
          <w:snapToGrid w:val="0"/>
        </w:rPr>
        <w:t>Applying from 1 September 2019</w:t>
      </w:r>
    </w:p>
    <w:p w14:paraId="6838685D" w14:textId="77777777" w:rsidR="00581587" w:rsidRPr="00ED5AD0" w:rsidRDefault="00581587" w:rsidP="00581587">
      <w:pPr>
        <w:widowControl w:val="0"/>
        <w:rPr>
          <w:b/>
          <w:bCs/>
          <w:snapToGrid w:val="0"/>
          <w:u w:val="single"/>
        </w:rPr>
      </w:pPr>
    </w:p>
    <w:p w14:paraId="5708AF5F" w14:textId="77777777" w:rsidR="00581587" w:rsidRPr="00ED5AD0" w:rsidRDefault="00581587" w:rsidP="00581587">
      <w:pPr>
        <w:widowControl w:val="0"/>
        <w:jc w:val="both"/>
        <w:rPr>
          <w:b/>
          <w:snapToGrid w:val="0"/>
          <w:color w:val="000000"/>
        </w:rPr>
      </w:pPr>
      <w:r w:rsidRPr="00ED5AD0">
        <w:rPr>
          <w:b/>
          <w:snapToGrid w:val="0"/>
          <w:color w:val="000000"/>
        </w:rPr>
        <w:t>1. Objectives</w:t>
      </w:r>
    </w:p>
    <w:p w14:paraId="033CA575" w14:textId="77777777" w:rsidR="00581587" w:rsidRPr="00ED5AD0" w:rsidRDefault="00581587" w:rsidP="00581587">
      <w:pPr>
        <w:widowControl w:val="0"/>
        <w:jc w:val="both"/>
        <w:rPr>
          <w:bCs/>
          <w:snapToGrid w:val="0"/>
          <w:color w:val="000000"/>
          <w:u w:val="single"/>
        </w:rPr>
      </w:pPr>
    </w:p>
    <w:p w14:paraId="48A43A18" w14:textId="77777777" w:rsidR="00581587" w:rsidRPr="00ED5AD0" w:rsidRDefault="00581587" w:rsidP="00581587">
      <w:pPr>
        <w:widowControl w:val="0"/>
        <w:rPr>
          <w:bCs/>
          <w:snapToGrid w:val="0"/>
          <w:color w:val="000000"/>
        </w:rPr>
      </w:pPr>
      <w:r w:rsidRPr="00ED5AD0">
        <w:rPr>
          <w:bCs/>
          <w:snapToGrid w:val="0"/>
          <w:color w:val="000000"/>
        </w:rPr>
        <w:t xml:space="preserve">To identify the process by which the organisation manages early retirement, flexible retirement and redundancy. </w:t>
      </w:r>
      <w:r w:rsidRPr="00ED5AD0">
        <w:rPr>
          <w:bCs/>
          <w:snapToGrid w:val="0"/>
          <w:color w:val="000000"/>
        </w:rPr>
        <w:tab/>
      </w:r>
    </w:p>
    <w:p w14:paraId="5F557439" w14:textId="77777777" w:rsidR="00581587" w:rsidRPr="00ED5AD0" w:rsidRDefault="00581587" w:rsidP="00581587">
      <w:pPr>
        <w:widowControl w:val="0"/>
        <w:rPr>
          <w:bCs/>
          <w:snapToGrid w:val="0"/>
          <w:color w:val="000000"/>
        </w:rPr>
      </w:pPr>
    </w:p>
    <w:p w14:paraId="6C58A6D1" w14:textId="77777777" w:rsidR="00581587" w:rsidRPr="00ED5AD0" w:rsidRDefault="00581587" w:rsidP="00581587">
      <w:pPr>
        <w:widowControl w:val="0"/>
        <w:rPr>
          <w:bCs/>
          <w:snapToGrid w:val="0"/>
          <w:color w:val="000000"/>
        </w:rPr>
      </w:pPr>
      <w:r w:rsidRPr="00ED5AD0">
        <w:rPr>
          <w:bCs/>
          <w:snapToGrid w:val="0"/>
          <w:color w:val="000000"/>
        </w:rPr>
        <w:t xml:space="preserve">To identify how the organisation aims to mitigate redundancy. </w:t>
      </w:r>
    </w:p>
    <w:p w14:paraId="20048049" w14:textId="77777777" w:rsidR="00581587" w:rsidRPr="00ED5AD0" w:rsidRDefault="00581587" w:rsidP="00581587">
      <w:pPr>
        <w:widowControl w:val="0"/>
        <w:rPr>
          <w:bCs/>
          <w:snapToGrid w:val="0"/>
          <w:color w:val="000000"/>
        </w:rPr>
      </w:pPr>
    </w:p>
    <w:p w14:paraId="67BA3AC5" w14:textId="77777777" w:rsidR="00581587" w:rsidRPr="00ED5AD0" w:rsidRDefault="00581587" w:rsidP="00581587">
      <w:pPr>
        <w:widowControl w:val="0"/>
        <w:rPr>
          <w:bCs/>
          <w:snapToGrid w:val="0"/>
          <w:color w:val="000000"/>
        </w:rPr>
      </w:pPr>
      <w:r w:rsidRPr="00ED5AD0">
        <w:rPr>
          <w:bCs/>
          <w:snapToGrid w:val="0"/>
          <w:color w:val="000000"/>
        </w:rPr>
        <w:t xml:space="preserve">To identify local discretions that are applied to cases of early retirement including dismissals due to reason of redundancy or efficiency of the service. </w:t>
      </w:r>
    </w:p>
    <w:p w14:paraId="6E6D97FE" w14:textId="77777777" w:rsidR="00581587" w:rsidRPr="00ED5AD0" w:rsidRDefault="00581587" w:rsidP="00581587">
      <w:pPr>
        <w:widowControl w:val="0"/>
        <w:rPr>
          <w:bCs/>
          <w:snapToGrid w:val="0"/>
          <w:color w:val="000000"/>
        </w:rPr>
      </w:pPr>
    </w:p>
    <w:p w14:paraId="7D6CD1D9" w14:textId="77777777" w:rsidR="00581587" w:rsidRPr="00ED5AD0" w:rsidRDefault="00581587" w:rsidP="00581587">
      <w:pPr>
        <w:widowControl w:val="0"/>
        <w:rPr>
          <w:bCs/>
          <w:snapToGrid w:val="0"/>
          <w:color w:val="000000"/>
        </w:rPr>
      </w:pPr>
      <w:r w:rsidRPr="00ED5AD0">
        <w:rPr>
          <w:bCs/>
          <w:snapToGrid w:val="0"/>
          <w:color w:val="000000"/>
        </w:rPr>
        <w:t>To protect the ongoing viability of the pension fund through control of pension enhancements and early release of pension benefits.</w:t>
      </w:r>
    </w:p>
    <w:p w14:paraId="52BB654C" w14:textId="77777777" w:rsidR="00581587" w:rsidRPr="00ED5AD0" w:rsidRDefault="00581587" w:rsidP="00581587">
      <w:pPr>
        <w:widowControl w:val="0"/>
        <w:jc w:val="both"/>
        <w:rPr>
          <w:bCs/>
          <w:snapToGrid w:val="0"/>
          <w:color w:val="000000"/>
        </w:rPr>
      </w:pPr>
    </w:p>
    <w:p w14:paraId="7A29EB00" w14:textId="77777777" w:rsidR="00581587" w:rsidRPr="00ED5AD0" w:rsidRDefault="00581587" w:rsidP="00581587">
      <w:pPr>
        <w:widowControl w:val="0"/>
        <w:jc w:val="both"/>
        <w:rPr>
          <w:bCs/>
          <w:snapToGrid w:val="0"/>
          <w:color w:val="000000"/>
        </w:rPr>
      </w:pPr>
    </w:p>
    <w:p w14:paraId="35294966" w14:textId="77777777" w:rsidR="00581587" w:rsidRPr="00ED5AD0" w:rsidRDefault="00581587" w:rsidP="00581587">
      <w:pPr>
        <w:widowControl w:val="0"/>
        <w:jc w:val="both"/>
        <w:rPr>
          <w:b/>
          <w:snapToGrid w:val="0"/>
          <w:color w:val="000000"/>
        </w:rPr>
      </w:pPr>
      <w:r w:rsidRPr="00ED5AD0">
        <w:rPr>
          <w:b/>
          <w:snapToGrid w:val="0"/>
          <w:color w:val="000000"/>
        </w:rPr>
        <w:t>2. Discretions</w:t>
      </w:r>
    </w:p>
    <w:p w14:paraId="0BF1A533" w14:textId="77777777" w:rsidR="00581587" w:rsidRPr="00ED5AD0" w:rsidRDefault="00581587" w:rsidP="00581587">
      <w:pPr>
        <w:widowControl w:val="0"/>
        <w:jc w:val="both"/>
        <w:rPr>
          <w:bCs/>
          <w:snapToGrid w:val="0"/>
          <w:color w:val="000000"/>
        </w:rPr>
      </w:pPr>
    </w:p>
    <w:p w14:paraId="505B5285" w14:textId="77777777" w:rsidR="00581587" w:rsidRPr="00ED5AD0" w:rsidRDefault="00581587" w:rsidP="00581587">
      <w:pPr>
        <w:autoSpaceDE w:val="0"/>
        <w:autoSpaceDN w:val="0"/>
        <w:adjustRightInd w:val="0"/>
        <w:spacing w:after="200"/>
        <w:rPr>
          <w:rFonts w:eastAsia="Calibri" w:cs="Arial"/>
          <w:color w:val="000000"/>
          <w:szCs w:val="24"/>
        </w:rPr>
      </w:pPr>
      <w:r w:rsidRPr="00ED5AD0">
        <w:rPr>
          <w:rFonts w:eastAsia="Calibri" w:cs="Arial"/>
          <w:color w:val="000000"/>
          <w:szCs w:val="24"/>
        </w:rPr>
        <w:t xml:space="preserve">In accordance with the legal requirement under Regulation 60(5) of the Local Government Pension Scheme 2013 a range of local discretion policy statements have been adopted by the Council. These discretions are published on the Council’s website. </w:t>
      </w:r>
    </w:p>
    <w:p w14:paraId="5A798C9C" w14:textId="77777777" w:rsidR="00581587" w:rsidRPr="00ED5AD0" w:rsidRDefault="00581587" w:rsidP="00581587">
      <w:pPr>
        <w:autoSpaceDE w:val="0"/>
        <w:autoSpaceDN w:val="0"/>
        <w:adjustRightInd w:val="0"/>
        <w:spacing w:after="200"/>
        <w:rPr>
          <w:rFonts w:eastAsia="Calibri" w:cs="Arial"/>
          <w:color w:val="000000"/>
          <w:spacing w:val="-5"/>
          <w:szCs w:val="24"/>
        </w:rPr>
      </w:pPr>
      <w:r w:rsidRPr="00ED5AD0">
        <w:rPr>
          <w:rFonts w:eastAsia="Calibri" w:cs="Arial"/>
          <w:color w:val="000000"/>
          <w:szCs w:val="24"/>
        </w:rPr>
        <w:t xml:space="preserve">Relevant to this policy is the discretion applied through the </w:t>
      </w:r>
      <w:r w:rsidRPr="00ED5AD0">
        <w:rPr>
          <w:rFonts w:eastAsia="Calibri" w:cs="Arial"/>
          <w:color w:val="000000"/>
          <w:spacing w:val="-5"/>
          <w:szCs w:val="24"/>
        </w:rPr>
        <w:t xml:space="preserve">Local Government (Early Termination of Employment) (Discretionary Compensation) (England </w:t>
      </w:r>
      <w:proofErr w:type="gramStart"/>
      <w:r w:rsidRPr="00ED5AD0">
        <w:rPr>
          <w:rFonts w:eastAsia="Calibri" w:cs="Arial"/>
          <w:color w:val="000000"/>
          <w:spacing w:val="-5"/>
          <w:szCs w:val="24"/>
        </w:rPr>
        <w:t>And</w:t>
      </w:r>
      <w:proofErr w:type="gramEnd"/>
      <w:r w:rsidRPr="00ED5AD0">
        <w:rPr>
          <w:rFonts w:eastAsia="Calibri" w:cs="Arial"/>
          <w:color w:val="000000"/>
          <w:spacing w:val="-5"/>
          <w:szCs w:val="24"/>
        </w:rPr>
        <w:t xml:space="preserve"> Wales) Regulations 2006 (Regulation 5) under which statutory redundancy payments are calculated using an actual week’s pay.</w:t>
      </w:r>
    </w:p>
    <w:p w14:paraId="041423C7" w14:textId="77777777" w:rsidR="00581587" w:rsidRPr="00ED5AD0" w:rsidRDefault="00581587" w:rsidP="00581587">
      <w:pPr>
        <w:autoSpaceDE w:val="0"/>
        <w:autoSpaceDN w:val="0"/>
        <w:adjustRightInd w:val="0"/>
        <w:spacing w:after="200"/>
        <w:rPr>
          <w:rFonts w:eastAsia="Calibri" w:cs="Arial"/>
          <w:color w:val="000000"/>
          <w:spacing w:val="-5"/>
          <w:szCs w:val="24"/>
        </w:rPr>
      </w:pPr>
      <w:r w:rsidRPr="00ED5AD0">
        <w:rPr>
          <w:rFonts w:eastAsia="Calibri" w:cs="Arial"/>
          <w:color w:val="000000"/>
          <w:spacing w:val="-5"/>
          <w:szCs w:val="24"/>
        </w:rPr>
        <w:t>A fixed discretionary payment will be made for all dismissals due to the reason of redundancy or efficiency of the service. For redundancy dismissals this will be a compensatory payment equivalent to 30% of the value of the statutory redundancy payment (calculated using actual week’s pay); this to be paid in addition to any required statutory redundancy payment. For dismissals due to efficiency of the service a compensatory payment will be made equivalent to 30% of the value of a notional redundancy payment calculated using actual week’s pay as if the reason for dismissal was redundancy; there is no provision for any statutory payment and no other compensatory payment will be made.</w:t>
      </w:r>
    </w:p>
    <w:p w14:paraId="13AD3A60" w14:textId="77777777" w:rsidR="00581587" w:rsidRPr="00ED5AD0" w:rsidRDefault="00581587" w:rsidP="00581587">
      <w:pPr>
        <w:autoSpaceDE w:val="0"/>
        <w:autoSpaceDN w:val="0"/>
        <w:adjustRightInd w:val="0"/>
        <w:spacing w:after="200"/>
        <w:rPr>
          <w:rFonts w:eastAsia="Calibri" w:cs="Arial"/>
          <w:color w:val="000000"/>
          <w:spacing w:val="-5"/>
          <w:szCs w:val="24"/>
        </w:rPr>
      </w:pPr>
      <w:r w:rsidRPr="00ED5AD0">
        <w:rPr>
          <w:rFonts w:eastAsia="Calibri" w:cs="Arial"/>
          <w:color w:val="000000"/>
          <w:spacing w:val="-5"/>
          <w:szCs w:val="24"/>
        </w:rPr>
        <w:t xml:space="preserve">For these reasons of dismissal (redundancy or efficiency), should the employee be age 55 or above and a member of the Local Government Pension Scheme then pension will be released at the point of dismissal.  </w:t>
      </w:r>
    </w:p>
    <w:p w14:paraId="77A52760" w14:textId="77777777" w:rsidR="00581587" w:rsidRPr="00ED5AD0" w:rsidRDefault="00581587" w:rsidP="00581587">
      <w:pPr>
        <w:widowControl w:val="0"/>
        <w:jc w:val="both"/>
        <w:rPr>
          <w:rFonts w:cs="Arial"/>
          <w:bCs/>
          <w:snapToGrid w:val="0"/>
          <w:color w:val="000000"/>
        </w:rPr>
      </w:pPr>
    </w:p>
    <w:p w14:paraId="15E4780D"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 xml:space="preserve"> </w:t>
      </w:r>
    </w:p>
    <w:p w14:paraId="78DE4D08" w14:textId="77777777" w:rsidR="00581587" w:rsidRPr="00ED5AD0" w:rsidRDefault="00581587" w:rsidP="00581587">
      <w:pPr>
        <w:spacing w:after="200" w:line="276" w:lineRule="auto"/>
        <w:rPr>
          <w:b/>
          <w:snapToGrid w:val="0"/>
          <w:color w:val="000000"/>
        </w:rPr>
      </w:pPr>
      <w:r w:rsidRPr="00ED5AD0">
        <w:rPr>
          <w:rFonts w:cs="Arial"/>
          <w:bCs/>
          <w:snapToGrid w:val="0"/>
          <w:color w:val="000000"/>
        </w:rPr>
        <w:br w:type="page"/>
      </w:r>
      <w:r w:rsidRPr="00ED5AD0">
        <w:rPr>
          <w:b/>
          <w:snapToGrid w:val="0"/>
          <w:color w:val="000000"/>
        </w:rPr>
        <w:lastRenderedPageBreak/>
        <w:t>3. Redeployment (mitigating redundancy)</w:t>
      </w:r>
    </w:p>
    <w:p w14:paraId="033E2299" w14:textId="77777777" w:rsidR="00581587" w:rsidRPr="00ED5AD0" w:rsidRDefault="00581587" w:rsidP="00581587">
      <w:pPr>
        <w:widowControl w:val="0"/>
        <w:jc w:val="both"/>
        <w:rPr>
          <w:bCs/>
          <w:snapToGrid w:val="0"/>
          <w:color w:val="000000"/>
        </w:rPr>
      </w:pPr>
      <w:r w:rsidRPr="00ED5AD0">
        <w:rPr>
          <w:bCs/>
          <w:snapToGrid w:val="0"/>
          <w:color w:val="000000"/>
        </w:rPr>
        <w:t xml:space="preserve">3.1 Prior to dismissal due to reasons of redundancy, efficiency of the service, capability or ill-health, appropriate opportunities for suitable redeployment will be explored. Where these exist employees at risk will be considered for placement into other posts through the processes identified in existing Council protocols. </w:t>
      </w:r>
    </w:p>
    <w:p w14:paraId="01C1F046" w14:textId="77777777" w:rsidR="00581587" w:rsidRPr="00ED5AD0" w:rsidRDefault="00581587" w:rsidP="00581587">
      <w:pPr>
        <w:widowControl w:val="0"/>
        <w:jc w:val="both"/>
        <w:rPr>
          <w:bCs/>
          <w:snapToGrid w:val="0"/>
          <w:color w:val="000000"/>
        </w:rPr>
      </w:pPr>
    </w:p>
    <w:p w14:paraId="082B52C0" w14:textId="77777777" w:rsidR="00581587" w:rsidRPr="00ED5AD0" w:rsidRDefault="00581587" w:rsidP="00581587">
      <w:pPr>
        <w:widowControl w:val="0"/>
        <w:jc w:val="both"/>
        <w:rPr>
          <w:bCs/>
          <w:snapToGrid w:val="0"/>
          <w:color w:val="000000"/>
        </w:rPr>
      </w:pPr>
      <w:r w:rsidRPr="00ED5AD0">
        <w:rPr>
          <w:bCs/>
          <w:snapToGrid w:val="0"/>
          <w:color w:val="000000"/>
        </w:rPr>
        <w:t xml:space="preserve">3.2 Although the process for redeployment is governed by the processes identified in the Council protocols, in general terms support to employees potentially under threat will be offered. Such support might include: </w:t>
      </w:r>
    </w:p>
    <w:p w14:paraId="01124566" w14:textId="77777777" w:rsidR="00581587" w:rsidRPr="00ED5AD0" w:rsidRDefault="00581587" w:rsidP="00581587">
      <w:pPr>
        <w:widowControl w:val="0"/>
        <w:jc w:val="both"/>
        <w:rPr>
          <w:bCs/>
          <w:snapToGrid w:val="0"/>
          <w:color w:val="000000"/>
        </w:rPr>
      </w:pPr>
    </w:p>
    <w:p w14:paraId="34FD0801" w14:textId="77777777" w:rsidR="00581587" w:rsidRPr="00ED5AD0" w:rsidRDefault="00581587" w:rsidP="00D32888">
      <w:pPr>
        <w:widowControl w:val="0"/>
        <w:numPr>
          <w:ilvl w:val="0"/>
          <w:numId w:val="37"/>
        </w:numPr>
        <w:spacing w:after="200" w:line="276" w:lineRule="auto"/>
        <w:contextualSpacing/>
        <w:jc w:val="both"/>
        <w:rPr>
          <w:bCs/>
          <w:snapToGrid w:val="0"/>
          <w:color w:val="000000"/>
        </w:rPr>
      </w:pPr>
      <w:r w:rsidRPr="00ED5AD0">
        <w:rPr>
          <w:bCs/>
          <w:snapToGrid w:val="0"/>
          <w:color w:val="000000"/>
        </w:rPr>
        <w:t>To make reasonable adjustments to duties and workplace to accommodate the employee’s needs</w:t>
      </w:r>
    </w:p>
    <w:p w14:paraId="6A28ED9D" w14:textId="77777777" w:rsidR="00581587" w:rsidRPr="00ED5AD0" w:rsidRDefault="00581587" w:rsidP="00D32888">
      <w:pPr>
        <w:widowControl w:val="0"/>
        <w:numPr>
          <w:ilvl w:val="0"/>
          <w:numId w:val="13"/>
        </w:numPr>
        <w:spacing w:after="200" w:line="276" w:lineRule="auto"/>
        <w:jc w:val="both"/>
        <w:rPr>
          <w:bCs/>
          <w:snapToGrid w:val="0"/>
          <w:color w:val="000000"/>
        </w:rPr>
      </w:pPr>
      <w:r w:rsidRPr="00ED5AD0">
        <w:rPr>
          <w:bCs/>
          <w:snapToGrid w:val="0"/>
          <w:color w:val="000000"/>
        </w:rPr>
        <w:t>To offer reasonable training and development where appropriate to enable the employee to undertake the duties of the redeployment within a reasonable length of time</w:t>
      </w:r>
    </w:p>
    <w:p w14:paraId="3F309EB4" w14:textId="77777777" w:rsidR="00581587" w:rsidRPr="00ED5AD0" w:rsidRDefault="00581587" w:rsidP="00D32888">
      <w:pPr>
        <w:widowControl w:val="0"/>
        <w:numPr>
          <w:ilvl w:val="0"/>
          <w:numId w:val="13"/>
        </w:numPr>
        <w:spacing w:after="200" w:line="276" w:lineRule="auto"/>
        <w:jc w:val="both"/>
        <w:rPr>
          <w:bCs/>
          <w:snapToGrid w:val="0"/>
          <w:color w:val="000000"/>
        </w:rPr>
      </w:pPr>
      <w:r w:rsidRPr="00ED5AD0">
        <w:rPr>
          <w:bCs/>
          <w:snapToGrid w:val="0"/>
          <w:color w:val="000000"/>
        </w:rPr>
        <w:t xml:space="preserve">To offer general support for skills development including trial interviews, C.V. writing </w:t>
      </w:r>
      <w:proofErr w:type="gramStart"/>
      <w:r w:rsidRPr="00ED5AD0">
        <w:rPr>
          <w:bCs/>
          <w:snapToGrid w:val="0"/>
          <w:color w:val="000000"/>
        </w:rPr>
        <w:t>and  training</w:t>
      </w:r>
      <w:proofErr w:type="gramEnd"/>
      <w:r w:rsidRPr="00ED5AD0">
        <w:rPr>
          <w:bCs/>
          <w:snapToGrid w:val="0"/>
          <w:color w:val="000000"/>
        </w:rPr>
        <w:t xml:space="preserve"> in application form completion    </w:t>
      </w:r>
    </w:p>
    <w:p w14:paraId="47452885" w14:textId="77777777" w:rsidR="00581587" w:rsidRPr="00ED5AD0" w:rsidRDefault="00581587" w:rsidP="00D32888">
      <w:pPr>
        <w:widowControl w:val="0"/>
        <w:numPr>
          <w:ilvl w:val="0"/>
          <w:numId w:val="13"/>
        </w:numPr>
        <w:spacing w:after="200" w:line="276" w:lineRule="auto"/>
        <w:jc w:val="both"/>
        <w:rPr>
          <w:bCs/>
          <w:snapToGrid w:val="0"/>
          <w:color w:val="000000"/>
        </w:rPr>
      </w:pPr>
      <w:r w:rsidRPr="00ED5AD0">
        <w:rPr>
          <w:bCs/>
          <w:snapToGrid w:val="0"/>
          <w:color w:val="000000"/>
        </w:rPr>
        <w:t>To offer trial periods of 4 weeks in a potentially suitable alternative post as required in the Employment Protection (Consolidation) Act and to extend this if it will assist in securing a redeployment</w:t>
      </w:r>
    </w:p>
    <w:p w14:paraId="43305AF2" w14:textId="77777777" w:rsidR="00581587" w:rsidRPr="00ED5AD0" w:rsidRDefault="00581587" w:rsidP="00D32888">
      <w:pPr>
        <w:widowControl w:val="0"/>
        <w:numPr>
          <w:ilvl w:val="0"/>
          <w:numId w:val="13"/>
        </w:numPr>
        <w:spacing w:after="200" w:line="276" w:lineRule="auto"/>
        <w:jc w:val="both"/>
        <w:rPr>
          <w:bCs/>
          <w:snapToGrid w:val="0"/>
          <w:color w:val="000000"/>
        </w:rPr>
      </w:pPr>
      <w:r w:rsidRPr="00ED5AD0">
        <w:rPr>
          <w:bCs/>
          <w:snapToGrid w:val="0"/>
          <w:color w:val="000000"/>
        </w:rPr>
        <w:t>To notify and consult with the Trade Unions as required by legislation.</w:t>
      </w:r>
    </w:p>
    <w:p w14:paraId="311DCD95" w14:textId="77777777" w:rsidR="00581587" w:rsidRPr="00ED5AD0" w:rsidRDefault="00581587" w:rsidP="00581587">
      <w:pPr>
        <w:widowControl w:val="0"/>
        <w:jc w:val="both"/>
        <w:rPr>
          <w:bCs/>
          <w:snapToGrid w:val="0"/>
          <w:color w:val="000000"/>
        </w:rPr>
      </w:pPr>
    </w:p>
    <w:p w14:paraId="5F649489" w14:textId="77777777" w:rsidR="00581587" w:rsidRPr="00ED5AD0" w:rsidRDefault="00581587" w:rsidP="00581587">
      <w:pPr>
        <w:widowControl w:val="0"/>
        <w:jc w:val="both"/>
        <w:rPr>
          <w:bCs/>
          <w:snapToGrid w:val="0"/>
          <w:color w:val="000000"/>
        </w:rPr>
      </w:pPr>
      <w:r w:rsidRPr="00ED5AD0">
        <w:rPr>
          <w:bCs/>
          <w:snapToGrid w:val="0"/>
          <w:color w:val="000000"/>
        </w:rPr>
        <w:t xml:space="preserve">3.3 Where suitable alternative employment exists in the view of the Council, employees are expected to engage with the redeployment process. Failure to do so may affect the reason for dismissal (the Council may take the view that there is no redundancy to declare if suitable redeployment opportunities are rejected) and this may mean that redundancy payment is not </w:t>
      </w:r>
      <w:proofErr w:type="gramStart"/>
      <w:r w:rsidRPr="00ED5AD0">
        <w:rPr>
          <w:bCs/>
          <w:snapToGrid w:val="0"/>
          <w:color w:val="000000"/>
        </w:rPr>
        <w:t>made</w:t>
      </w:r>
      <w:proofErr w:type="gramEnd"/>
      <w:r w:rsidRPr="00ED5AD0">
        <w:rPr>
          <w:bCs/>
          <w:snapToGrid w:val="0"/>
          <w:color w:val="000000"/>
        </w:rPr>
        <w:t xml:space="preserve"> and that pension is not released. </w:t>
      </w:r>
    </w:p>
    <w:p w14:paraId="30A32995" w14:textId="77777777" w:rsidR="00581587" w:rsidRPr="00ED5AD0" w:rsidRDefault="00581587" w:rsidP="00581587">
      <w:pPr>
        <w:widowControl w:val="0"/>
        <w:jc w:val="both"/>
        <w:rPr>
          <w:bCs/>
          <w:snapToGrid w:val="0"/>
          <w:color w:val="000000"/>
        </w:rPr>
      </w:pPr>
    </w:p>
    <w:p w14:paraId="7E7EFC7C" w14:textId="77777777" w:rsidR="00581587" w:rsidRPr="00ED5AD0" w:rsidRDefault="00581587" w:rsidP="00581587">
      <w:pPr>
        <w:widowControl w:val="0"/>
        <w:jc w:val="both"/>
        <w:rPr>
          <w:bCs/>
          <w:snapToGrid w:val="0"/>
          <w:color w:val="000000"/>
          <w:u w:val="single"/>
        </w:rPr>
      </w:pPr>
      <w:r w:rsidRPr="00ED5AD0">
        <w:rPr>
          <w:bCs/>
          <w:snapToGrid w:val="0"/>
          <w:color w:val="000000"/>
        </w:rPr>
        <w:t xml:space="preserve"> Employees at risk are expected:</w:t>
      </w:r>
    </w:p>
    <w:p w14:paraId="68A92C90" w14:textId="77777777" w:rsidR="00581587" w:rsidRPr="00ED5AD0" w:rsidRDefault="00581587" w:rsidP="00581587">
      <w:pPr>
        <w:widowControl w:val="0"/>
        <w:jc w:val="both"/>
        <w:rPr>
          <w:bCs/>
          <w:snapToGrid w:val="0"/>
          <w:color w:val="000000"/>
          <w:u w:val="single"/>
        </w:rPr>
      </w:pPr>
    </w:p>
    <w:p w14:paraId="3D1F728B" w14:textId="77777777" w:rsidR="00581587" w:rsidRPr="00ED5AD0" w:rsidRDefault="00581587" w:rsidP="00D32888">
      <w:pPr>
        <w:widowControl w:val="0"/>
        <w:numPr>
          <w:ilvl w:val="0"/>
          <w:numId w:val="14"/>
        </w:numPr>
        <w:spacing w:after="200" w:line="276" w:lineRule="auto"/>
        <w:jc w:val="both"/>
        <w:rPr>
          <w:bCs/>
          <w:snapToGrid w:val="0"/>
          <w:color w:val="000000"/>
        </w:rPr>
      </w:pPr>
      <w:r w:rsidRPr="00ED5AD0">
        <w:rPr>
          <w:bCs/>
          <w:snapToGrid w:val="0"/>
          <w:color w:val="000000"/>
        </w:rPr>
        <w:t>To give meaningful consideration of redeployment opportunities made available to them</w:t>
      </w:r>
    </w:p>
    <w:p w14:paraId="7A7A1D5A" w14:textId="77777777" w:rsidR="00581587" w:rsidRPr="00ED5AD0" w:rsidRDefault="00581587" w:rsidP="00D32888">
      <w:pPr>
        <w:widowControl w:val="0"/>
        <w:numPr>
          <w:ilvl w:val="0"/>
          <w:numId w:val="14"/>
        </w:numPr>
        <w:spacing w:after="200" w:line="276" w:lineRule="auto"/>
        <w:jc w:val="both"/>
        <w:rPr>
          <w:bCs/>
          <w:snapToGrid w:val="0"/>
          <w:color w:val="000000"/>
        </w:rPr>
      </w:pPr>
      <w:r w:rsidRPr="00ED5AD0">
        <w:rPr>
          <w:bCs/>
          <w:snapToGrid w:val="0"/>
          <w:color w:val="000000"/>
        </w:rPr>
        <w:t xml:space="preserve">To undertake required training and development </w:t>
      </w:r>
      <w:proofErr w:type="gramStart"/>
      <w:r w:rsidRPr="00ED5AD0">
        <w:rPr>
          <w:bCs/>
          <w:snapToGrid w:val="0"/>
          <w:color w:val="000000"/>
        </w:rPr>
        <w:t>in order to</w:t>
      </w:r>
      <w:proofErr w:type="gramEnd"/>
      <w:r w:rsidRPr="00ED5AD0">
        <w:rPr>
          <w:bCs/>
          <w:snapToGrid w:val="0"/>
          <w:color w:val="000000"/>
        </w:rPr>
        <w:t xml:space="preserve"> undertake the duties of a suitable post</w:t>
      </w:r>
    </w:p>
    <w:p w14:paraId="39C50440" w14:textId="77777777" w:rsidR="00581587" w:rsidRPr="00ED5AD0" w:rsidRDefault="00581587" w:rsidP="00D32888">
      <w:pPr>
        <w:widowControl w:val="0"/>
        <w:numPr>
          <w:ilvl w:val="0"/>
          <w:numId w:val="14"/>
        </w:numPr>
        <w:spacing w:after="200" w:line="276" w:lineRule="auto"/>
        <w:jc w:val="both"/>
        <w:rPr>
          <w:bCs/>
          <w:snapToGrid w:val="0"/>
          <w:color w:val="000000"/>
        </w:rPr>
      </w:pPr>
      <w:r w:rsidRPr="00ED5AD0">
        <w:rPr>
          <w:bCs/>
          <w:snapToGrid w:val="0"/>
          <w:color w:val="000000"/>
        </w:rPr>
        <w:t>To make every effort to mitigate the requirement for redeployment by actively seeking alternative employment</w:t>
      </w:r>
    </w:p>
    <w:p w14:paraId="5640DD25" w14:textId="77777777" w:rsidR="00581587" w:rsidRPr="00ED5AD0" w:rsidRDefault="00581587" w:rsidP="00D32888">
      <w:pPr>
        <w:widowControl w:val="0"/>
        <w:numPr>
          <w:ilvl w:val="0"/>
          <w:numId w:val="14"/>
        </w:numPr>
        <w:spacing w:after="200" w:line="276" w:lineRule="auto"/>
        <w:jc w:val="both"/>
        <w:rPr>
          <w:bCs/>
          <w:snapToGrid w:val="0"/>
          <w:color w:val="000000"/>
        </w:rPr>
      </w:pPr>
      <w:r w:rsidRPr="00ED5AD0">
        <w:rPr>
          <w:bCs/>
          <w:snapToGrid w:val="0"/>
          <w:color w:val="000000"/>
        </w:rPr>
        <w:t>To undertake trial periods with a positive approach to ensuring the redeployment will be successful</w:t>
      </w:r>
    </w:p>
    <w:p w14:paraId="1170C2BD" w14:textId="77777777" w:rsidR="00581587" w:rsidRPr="00ED5AD0" w:rsidRDefault="00581587" w:rsidP="00581587">
      <w:pPr>
        <w:widowControl w:val="0"/>
        <w:jc w:val="both"/>
        <w:rPr>
          <w:bCs/>
          <w:snapToGrid w:val="0"/>
          <w:color w:val="FF0000"/>
        </w:rPr>
      </w:pPr>
    </w:p>
    <w:p w14:paraId="2DEB8E86" w14:textId="77777777" w:rsidR="00581587" w:rsidRPr="00ED5AD0" w:rsidRDefault="00581587" w:rsidP="00581587">
      <w:pPr>
        <w:widowControl w:val="0"/>
        <w:jc w:val="both"/>
        <w:rPr>
          <w:bCs/>
          <w:snapToGrid w:val="0"/>
          <w:color w:val="000000"/>
          <w:u w:val="single"/>
        </w:rPr>
      </w:pPr>
      <w:r w:rsidRPr="00ED5AD0">
        <w:rPr>
          <w:bCs/>
          <w:snapToGrid w:val="0"/>
          <w:color w:val="000000"/>
        </w:rPr>
        <w:t>3.4 Protection</w:t>
      </w:r>
    </w:p>
    <w:p w14:paraId="40C7778E" w14:textId="77777777" w:rsidR="00581587" w:rsidRPr="00ED5AD0" w:rsidRDefault="00581587" w:rsidP="00581587">
      <w:pPr>
        <w:widowControl w:val="0"/>
        <w:jc w:val="both"/>
        <w:rPr>
          <w:bCs/>
          <w:snapToGrid w:val="0"/>
          <w:color w:val="000000"/>
        </w:rPr>
      </w:pPr>
    </w:p>
    <w:p w14:paraId="3F426A5D" w14:textId="77777777" w:rsidR="00581587" w:rsidRPr="00ED5AD0" w:rsidRDefault="00581587" w:rsidP="00581587">
      <w:pPr>
        <w:widowControl w:val="0"/>
        <w:jc w:val="both"/>
        <w:rPr>
          <w:bCs/>
          <w:snapToGrid w:val="0"/>
          <w:color w:val="000000"/>
        </w:rPr>
      </w:pPr>
      <w:r w:rsidRPr="00ED5AD0">
        <w:rPr>
          <w:bCs/>
          <w:snapToGrid w:val="0"/>
          <w:color w:val="000000"/>
        </w:rPr>
        <w:t xml:space="preserve">In any redeployment situation where an employee is redeployed to a lower-graded </w:t>
      </w:r>
      <w:r w:rsidRPr="00ED5AD0">
        <w:rPr>
          <w:bCs/>
          <w:snapToGrid w:val="0"/>
          <w:color w:val="000000"/>
        </w:rPr>
        <w:lastRenderedPageBreak/>
        <w:t xml:space="preserve">post or where a post grade is reduced then the provisions of the Council’s Pay Protection Policy will apply.  Consideration will be given to assistance with excess travelling expenses should there be a change of base.  Reimbursement will be made in accordance with local policy.  An allowance may also be considered for excess travelling time incurred by a move of base.  Both excess travelling expenses and additional travelling time will be applied in accordance with local policy that exists at the date of the start of the new post. </w:t>
      </w:r>
    </w:p>
    <w:p w14:paraId="71F73B36" w14:textId="77777777" w:rsidR="00581587" w:rsidRPr="00ED5AD0" w:rsidRDefault="00581587" w:rsidP="00581587">
      <w:pPr>
        <w:widowControl w:val="0"/>
        <w:jc w:val="both"/>
        <w:rPr>
          <w:bCs/>
          <w:snapToGrid w:val="0"/>
          <w:color w:val="000000"/>
        </w:rPr>
      </w:pPr>
    </w:p>
    <w:p w14:paraId="34A7871F" w14:textId="004AEA19" w:rsidR="00581587" w:rsidRPr="00ED5AD0" w:rsidRDefault="00581587" w:rsidP="00581587">
      <w:pPr>
        <w:widowControl w:val="0"/>
        <w:jc w:val="both"/>
        <w:rPr>
          <w:bCs/>
          <w:snapToGrid w:val="0"/>
          <w:color w:val="000000"/>
        </w:rPr>
      </w:pPr>
      <w:r w:rsidRPr="00ED5AD0">
        <w:rPr>
          <w:bCs/>
          <w:snapToGrid w:val="0"/>
          <w:color w:val="000000"/>
        </w:rPr>
        <w:t xml:space="preserve">The Council’s Pay Protection Policy is shown at </w:t>
      </w:r>
      <w:r w:rsidRPr="00ED5AD0">
        <w:rPr>
          <w:b/>
          <w:snapToGrid w:val="0"/>
          <w:color w:val="000000"/>
        </w:rPr>
        <w:t xml:space="preserve">Appendix </w:t>
      </w:r>
      <w:r w:rsidR="009F7FF3" w:rsidRPr="00ED5AD0">
        <w:rPr>
          <w:b/>
          <w:snapToGrid w:val="0"/>
          <w:color w:val="000000"/>
        </w:rPr>
        <w:t>J</w:t>
      </w:r>
      <w:r w:rsidRPr="00ED5AD0">
        <w:rPr>
          <w:bCs/>
          <w:snapToGrid w:val="0"/>
          <w:color w:val="000000"/>
        </w:rPr>
        <w:t xml:space="preserve"> and the Disturbance Allowance Scheme at </w:t>
      </w:r>
      <w:commentRangeStart w:id="14"/>
      <w:r w:rsidRPr="00ED5AD0">
        <w:rPr>
          <w:bCs/>
          <w:snapToGrid w:val="0"/>
          <w:color w:val="000000"/>
        </w:rPr>
        <w:t>Appendix 19.</w:t>
      </w:r>
      <w:commentRangeEnd w:id="14"/>
      <w:r w:rsidR="009F7FF3" w:rsidRPr="00ED5AD0">
        <w:rPr>
          <w:rStyle w:val="CommentReference"/>
        </w:rPr>
        <w:commentReference w:id="14"/>
      </w:r>
    </w:p>
    <w:p w14:paraId="19F77785" w14:textId="77777777" w:rsidR="00581587" w:rsidRPr="00ED5AD0" w:rsidRDefault="00581587" w:rsidP="00581587">
      <w:pPr>
        <w:widowControl w:val="0"/>
        <w:jc w:val="both"/>
        <w:rPr>
          <w:bCs/>
          <w:snapToGrid w:val="0"/>
          <w:color w:val="FF0000"/>
        </w:rPr>
      </w:pPr>
    </w:p>
    <w:p w14:paraId="45B0F931" w14:textId="77777777" w:rsidR="00581587" w:rsidRPr="00ED5AD0" w:rsidRDefault="00581587" w:rsidP="00581587">
      <w:pPr>
        <w:widowControl w:val="0"/>
        <w:jc w:val="both"/>
        <w:rPr>
          <w:bCs/>
          <w:snapToGrid w:val="0"/>
          <w:color w:val="000000"/>
        </w:rPr>
      </w:pPr>
      <w:r w:rsidRPr="00ED5AD0">
        <w:rPr>
          <w:bCs/>
          <w:snapToGrid w:val="0"/>
          <w:color w:val="000000"/>
        </w:rPr>
        <w:t xml:space="preserve">3.5 Procedure </w:t>
      </w:r>
    </w:p>
    <w:p w14:paraId="31549868" w14:textId="77777777" w:rsidR="00581587" w:rsidRPr="00ED5AD0" w:rsidRDefault="00581587" w:rsidP="00581587">
      <w:pPr>
        <w:widowControl w:val="0"/>
        <w:jc w:val="both"/>
        <w:rPr>
          <w:bCs/>
          <w:snapToGrid w:val="0"/>
          <w:color w:val="000000"/>
        </w:rPr>
      </w:pPr>
    </w:p>
    <w:p w14:paraId="15678BD3" w14:textId="77777777" w:rsidR="00581587" w:rsidRPr="00ED5AD0" w:rsidRDefault="00581587" w:rsidP="00581587">
      <w:pPr>
        <w:widowControl w:val="0"/>
        <w:jc w:val="both"/>
        <w:rPr>
          <w:bCs/>
          <w:snapToGrid w:val="0"/>
          <w:color w:val="000000"/>
        </w:rPr>
      </w:pPr>
      <w:r w:rsidRPr="00ED5AD0">
        <w:rPr>
          <w:bCs/>
          <w:snapToGrid w:val="0"/>
          <w:color w:val="000000"/>
        </w:rPr>
        <w:t>The report proposing structural changes will be brought to Senior Leadership Team to seek support.</w:t>
      </w:r>
    </w:p>
    <w:p w14:paraId="406BE06A" w14:textId="77777777" w:rsidR="00581587" w:rsidRPr="00ED5AD0" w:rsidRDefault="00581587" w:rsidP="00581587">
      <w:pPr>
        <w:widowControl w:val="0"/>
        <w:jc w:val="both"/>
        <w:rPr>
          <w:bCs/>
          <w:snapToGrid w:val="0"/>
          <w:color w:val="000000"/>
        </w:rPr>
      </w:pPr>
    </w:p>
    <w:p w14:paraId="058D1648" w14:textId="77777777" w:rsidR="00581587" w:rsidRPr="00ED5AD0" w:rsidRDefault="00581587" w:rsidP="00581587">
      <w:pPr>
        <w:widowControl w:val="0"/>
        <w:jc w:val="both"/>
        <w:rPr>
          <w:bCs/>
          <w:snapToGrid w:val="0"/>
          <w:color w:val="000000"/>
        </w:rPr>
      </w:pPr>
      <w:r w:rsidRPr="00ED5AD0">
        <w:rPr>
          <w:bCs/>
          <w:snapToGrid w:val="0"/>
          <w:color w:val="000000"/>
        </w:rPr>
        <w:t xml:space="preserve">If supported, this report will be used as the basis of consultation with employees directly affected by the proposals and trade unions. Unless agreed otherwise or a longer </w:t>
      </w:r>
      <w:proofErr w:type="gramStart"/>
      <w:r w:rsidRPr="00ED5AD0">
        <w:rPr>
          <w:bCs/>
          <w:snapToGrid w:val="0"/>
          <w:color w:val="000000"/>
        </w:rPr>
        <w:t>period of time</w:t>
      </w:r>
      <w:proofErr w:type="gramEnd"/>
      <w:r w:rsidRPr="00ED5AD0">
        <w:rPr>
          <w:bCs/>
          <w:snapToGrid w:val="0"/>
          <w:color w:val="000000"/>
        </w:rPr>
        <w:t xml:space="preserve"> is required by law, a period of at least 30 days will be given for consultation.</w:t>
      </w:r>
    </w:p>
    <w:p w14:paraId="109C7E7C" w14:textId="77777777" w:rsidR="00581587" w:rsidRPr="00ED5AD0" w:rsidRDefault="00581587" w:rsidP="00581587">
      <w:pPr>
        <w:widowControl w:val="0"/>
        <w:jc w:val="both"/>
        <w:rPr>
          <w:bCs/>
          <w:snapToGrid w:val="0"/>
          <w:color w:val="000000"/>
        </w:rPr>
      </w:pPr>
    </w:p>
    <w:p w14:paraId="5EAD029C" w14:textId="77777777" w:rsidR="00581587" w:rsidRPr="00ED5AD0" w:rsidRDefault="00581587" w:rsidP="00581587">
      <w:pPr>
        <w:widowControl w:val="0"/>
        <w:jc w:val="both"/>
        <w:rPr>
          <w:bCs/>
          <w:snapToGrid w:val="0"/>
          <w:color w:val="000000"/>
        </w:rPr>
      </w:pPr>
      <w:r w:rsidRPr="00ED5AD0">
        <w:rPr>
          <w:bCs/>
          <w:snapToGrid w:val="0"/>
          <w:color w:val="000000"/>
        </w:rPr>
        <w:t xml:space="preserve">Should proposals be contentious in nature or if the proposals have a substantial effect in the ways that services might be delivered then the period of consultation will normally close at a meeting of the Joint Consultative and Safety Committee (JCSC). For proposals that are not contentious in nature then consultation may take place without formal consideration by the JCSC with the proposal only being reported later as an information item.   </w:t>
      </w:r>
    </w:p>
    <w:p w14:paraId="2E49F0EA" w14:textId="77777777" w:rsidR="00581587" w:rsidRPr="00ED5AD0" w:rsidRDefault="00581587" w:rsidP="00581587">
      <w:pPr>
        <w:widowControl w:val="0"/>
        <w:jc w:val="both"/>
        <w:rPr>
          <w:bCs/>
          <w:snapToGrid w:val="0"/>
          <w:color w:val="000000"/>
        </w:rPr>
      </w:pPr>
    </w:p>
    <w:p w14:paraId="65AC1D78" w14:textId="77777777" w:rsidR="00581587" w:rsidRPr="00ED5AD0" w:rsidRDefault="00581587" w:rsidP="00581587">
      <w:pPr>
        <w:rPr>
          <w:bCs/>
          <w:snapToGrid w:val="0"/>
          <w:color w:val="000000"/>
        </w:rPr>
      </w:pPr>
      <w:r w:rsidRPr="00ED5AD0">
        <w:rPr>
          <w:bCs/>
          <w:snapToGrid w:val="0"/>
          <w:color w:val="000000"/>
        </w:rPr>
        <w:t>Normally the implementation of structural change will be made by the Head of Paid Service. On occasions where the proposals are, in the opinion of the Head of Paid Service, significant in nature (whole service change, politically sensitive or whole council / senior management restructure) or require additional budget then the decision for implementation will be taken by the Appointments and Conditions of Service Committee or Full Council as the Head of Paid Service considers appropriate.</w:t>
      </w:r>
    </w:p>
    <w:p w14:paraId="16F363FB" w14:textId="77777777" w:rsidR="00581587" w:rsidRPr="00ED5AD0" w:rsidRDefault="00581587" w:rsidP="00581587">
      <w:pPr>
        <w:widowControl w:val="0"/>
        <w:jc w:val="both"/>
        <w:rPr>
          <w:bCs/>
          <w:snapToGrid w:val="0"/>
          <w:color w:val="000000"/>
        </w:rPr>
      </w:pPr>
    </w:p>
    <w:p w14:paraId="124F506E" w14:textId="77777777" w:rsidR="00581587" w:rsidRPr="00ED5AD0" w:rsidRDefault="00581587" w:rsidP="00581587">
      <w:pPr>
        <w:widowControl w:val="0"/>
        <w:jc w:val="both"/>
        <w:rPr>
          <w:bCs/>
          <w:snapToGrid w:val="0"/>
          <w:color w:val="000000"/>
        </w:rPr>
      </w:pPr>
      <w:r w:rsidRPr="00ED5AD0">
        <w:rPr>
          <w:bCs/>
          <w:snapToGrid w:val="0"/>
          <w:color w:val="000000"/>
        </w:rPr>
        <w:t>Employee consultation will allow for individual or group meetings with the manager proposing the structural change. An HR Officer will be present at such meetings at the request of either party.</w:t>
      </w:r>
    </w:p>
    <w:p w14:paraId="07CD40F0" w14:textId="77777777" w:rsidR="00581587" w:rsidRPr="00ED5AD0" w:rsidRDefault="00581587" w:rsidP="00581587">
      <w:pPr>
        <w:widowControl w:val="0"/>
        <w:jc w:val="both"/>
        <w:rPr>
          <w:bCs/>
          <w:snapToGrid w:val="0"/>
          <w:color w:val="000000"/>
        </w:rPr>
      </w:pPr>
    </w:p>
    <w:p w14:paraId="6840FAC5" w14:textId="77777777" w:rsidR="00581587" w:rsidRPr="00ED5AD0" w:rsidRDefault="00581587" w:rsidP="00581587">
      <w:pPr>
        <w:widowControl w:val="0"/>
        <w:jc w:val="both"/>
        <w:rPr>
          <w:bCs/>
          <w:snapToGrid w:val="0"/>
          <w:color w:val="000000"/>
        </w:rPr>
      </w:pPr>
      <w:r w:rsidRPr="00ED5AD0">
        <w:rPr>
          <w:bCs/>
          <w:snapToGrid w:val="0"/>
          <w:color w:val="000000"/>
        </w:rPr>
        <w:t>More general emotional support for affected employees will be offered through the Council’s Employee Assistance Programme or another similar service.</w:t>
      </w:r>
    </w:p>
    <w:p w14:paraId="1FE151A0" w14:textId="77777777" w:rsidR="00581587" w:rsidRPr="00ED5AD0" w:rsidRDefault="00581587" w:rsidP="00581587">
      <w:pPr>
        <w:widowControl w:val="0"/>
        <w:jc w:val="both"/>
        <w:rPr>
          <w:bCs/>
          <w:snapToGrid w:val="0"/>
          <w:color w:val="FF0000"/>
        </w:rPr>
      </w:pPr>
    </w:p>
    <w:p w14:paraId="22053CD8" w14:textId="77777777" w:rsidR="00581587" w:rsidRPr="00ED5AD0" w:rsidRDefault="00581587" w:rsidP="00581587">
      <w:pPr>
        <w:widowControl w:val="0"/>
        <w:jc w:val="both"/>
        <w:rPr>
          <w:bCs/>
          <w:snapToGrid w:val="0"/>
          <w:color w:val="FF0000"/>
        </w:rPr>
      </w:pPr>
    </w:p>
    <w:p w14:paraId="3DFBFC84" w14:textId="77777777" w:rsidR="00581587" w:rsidRPr="00ED5AD0" w:rsidRDefault="00581587" w:rsidP="00581587">
      <w:pPr>
        <w:widowControl w:val="0"/>
        <w:jc w:val="both"/>
        <w:rPr>
          <w:b/>
          <w:snapToGrid w:val="0"/>
          <w:color w:val="000000"/>
        </w:rPr>
      </w:pPr>
      <w:r w:rsidRPr="00ED5AD0">
        <w:rPr>
          <w:b/>
          <w:snapToGrid w:val="0"/>
          <w:color w:val="000000"/>
        </w:rPr>
        <w:t xml:space="preserve">4. </w:t>
      </w:r>
      <w:r w:rsidRPr="00ED5AD0">
        <w:rPr>
          <w:b/>
          <w:snapToGrid w:val="0"/>
          <w:color w:val="000000"/>
        </w:rPr>
        <w:tab/>
        <w:t>Policies and Procedures</w:t>
      </w:r>
    </w:p>
    <w:p w14:paraId="071329D3" w14:textId="77777777" w:rsidR="00581587" w:rsidRPr="00ED5AD0" w:rsidRDefault="00581587" w:rsidP="00581587">
      <w:pPr>
        <w:widowControl w:val="0"/>
        <w:jc w:val="both"/>
        <w:rPr>
          <w:bCs/>
          <w:snapToGrid w:val="0"/>
          <w:color w:val="000000"/>
        </w:rPr>
      </w:pPr>
    </w:p>
    <w:p w14:paraId="05383D47" w14:textId="77777777" w:rsidR="00581587" w:rsidRPr="00ED5AD0" w:rsidRDefault="00581587" w:rsidP="00581587">
      <w:pPr>
        <w:widowControl w:val="0"/>
        <w:jc w:val="both"/>
        <w:rPr>
          <w:b/>
          <w:snapToGrid w:val="0"/>
          <w:color w:val="000000"/>
          <w:u w:val="single"/>
        </w:rPr>
      </w:pPr>
      <w:r w:rsidRPr="00ED5AD0">
        <w:rPr>
          <w:b/>
          <w:snapToGrid w:val="0"/>
          <w:color w:val="000000"/>
        </w:rPr>
        <w:t>4.1. Capability due to ill-health (and ill-health retirement)</w:t>
      </w:r>
    </w:p>
    <w:p w14:paraId="5993740E" w14:textId="77777777" w:rsidR="00581587" w:rsidRPr="00ED5AD0" w:rsidRDefault="00581587" w:rsidP="00581587">
      <w:pPr>
        <w:widowControl w:val="0"/>
        <w:jc w:val="both"/>
        <w:rPr>
          <w:bCs/>
          <w:snapToGrid w:val="0"/>
          <w:color w:val="000000"/>
        </w:rPr>
      </w:pPr>
    </w:p>
    <w:p w14:paraId="08D81DD2" w14:textId="77777777" w:rsidR="00581587" w:rsidRPr="00ED5AD0" w:rsidRDefault="00581587" w:rsidP="00581587">
      <w:pPr>
        <w:widowControl w:val="0"/>
        <w:jc w:val="both"/>
        <w:rPr>
          <w:bCs/>
          <w:snapToGrid w:val="0"/>
          <w:color w:val="000000"/>
        </w:rPr>
      </w:pPr>
      <w:r w:rsidRPr="00ED5AD0">
        <w:rPr>
          <w:bCs/>
          <w:snapToGrid w:val="0"/>
          <w:color w:val="000000"/>
        </w:rPr>
        <w:t xml:space="preserve">This arises when an employee is no longer able to carry out the duties of their post, or comparable due to ill health and in the Council’s opinion as the employer, there is no opportunity to redeploy to another suitable post within the organisation. This dismissal is for the reason of capability due to ill-health. Advice will normally be obtained from </w:t>
      </w:r>
      <w:r w:rsidRPr="00ED5AD0">
        <w:rPr>
          <w:bCs/>
          <w:snapToGrid w:val="0"/>
          <w:color w:val="000000"/>
        </w:rPr>
        <w:lastRenderedPageBreak/>
        <w:t>an Occupational Health Consultant to support the decision to dismiss for this reason.</w:t>
      </w:r>
    </w:p>
    <w:p w14:paraId="65FCC7DF" w14:textId="77777777" w:rsidR="00581587" w:rsidRPr="00ED5AD0" w:rsidRDefault="00581587" w:rsidP="00581587">
      <w:pPr>
        <w:widowControl w:val="0"/>
        <w:jc w:val="both"/>
        <w:rPr>
          <w:bCs/>
          <w:snapToGrid w:val="0"/>
          <w:color w:val="000000"/>
        </w:rPr>
      </w:pPr>
    </w:p>
    <w:p w14:paraId="2D8C93E6" w14:textId="77777777" w:rsidR="00581587" w:rsidRPr="00ED5AD0" w:rsidRDefault="00581587" w:rsidP="00581587">
      <w:pPr>
        <w:widowControl w:val="0"/>
        <w:jc w:val="both"/>
        <w:rPr>
          <w:bCs/>
          <w:snapToGrid w:val="0"/>
          <w:color w:val="000000"/>
        </w:rPr>
      </w:pPr>
      <w:r w:rsidRPr="00ED5AD0">
        <w:rPr>
          <w:bCs/>
          <w:snapToGrid w:val="0"/>
          <w:color w:val="000000"/>
        </w:rPr>
        <w:t>For employees who are members of the Local Government Pension Scheme (LGPS) who are proposed for dismissal due to reason of capability due to ill-health then advice will be taken to determine if release of an ill-health retirement pension is possible and at what “tier” within the scheme. Release of a pension under these circumstances will only be authorised by the Council where this decision is supported by advice from an independent Occupational Health Consultant as identified in the LGPS.</w:t>
      </w:r>
    </w:p>
    <w:p w14:paraId="0512A8E3" w14:textId="77777777" w:rsidR="00581587" w:rsidRPr="00ED5AD0" w:rsidRDefault="00581587" w:rsidP="00581587">
      <w:pPr>
        <w:widowControl w:val="0"/>
        <w:jc w:val="both"/>
        <w:rPr>
          <w:bCs/>
          <w:snapToGrid w:val="0"/>
          <w:color w:val="000000"/>
        </w:rPr>
      </w:pPr>
    </w:p>
    <w:p w14:paraId="37E5C722" w14:textId="34C5181D" w:rsidR="00581587" w:rsidRPr="00ED5AD0" w:rsidRDefault="00581587" w:rsidP="00581587">
      <w:pPr>
        <w:widowControl w:val="0"/>
        <w:jc w:val="both"/>
        <w:rPr>
          <w:b/>
          <w:snapToGrid w:val="0"/>
          <w:color w:val="000000"/>
        </w:rPr>
      </w:pPr>
      <w:r w:rsidRPr="00ED5AD0">
        <w:rPr>
          <w:bCs/>
          <w:snapToGrid w:val="0"/>
          <w:color w:val="000000"/>
        </w:rPr>
        <w:t>The payments made under the tiers of the LGPS are defined in Regulation. There is no scope for additional discretionary payment for any capability dismissals (including ill-health retirements) to be made other than through the Council’s Industrial Injury Policy. Decisions to dismiss due to reason of capability rest with the Chief Executive or managers delegated to act on their behalf including</w:t>
      </w:r>
      <w:r w:rsidR="00EB0C8E" w:rsidRPr="00ED5AD0">
        <w:rPr>
          <w:bCs/>
          <w:snapToGrid w:val="0"/>
          <w:color w:val="000000"/>
        </w:rPr>
        <w:t>, Deputy Chief Executive,</w:t>
      </w:r>
      <w:r w:rsidRPr="00ED5AD0">
        <w:rPr>
          <w:bCs/>
          <w:snapToGrid w:val="0"/>
          <w:color w:val="000000"/>
        </w:rPr>
        <w:t xml:space="preserve"> </w:t>
      </w:r>
      <w:r w:rsidR="005103EB" w:rsidRPr="00ED5AD0">
        <w:rPr>
          <w:bCs/>
          <w:snapToGrid w:val="0"/>
          <w:color w:val="000000"/>
        </w:rPr>
        <w:t>Director</w:t>
      </w:r>
      <w:r w:rsidRPr="00ED5AD0">
        <w:rPr>
          <w:bCs/>
          <w:snapToGrid w:val="0"/>
          <w:color w:val="000000"/>
        </w:rPr>
        <w:t xml:space="preserve">s and </w:t>
      </w:r>
      <w:r w:rsidR="00EB0C8E" w:rsidRPr="00ED5AD0">
        <w:rPr>
          <w:b/>
          <w:snapToGrid w:val="0"/>
          <w:color w:val="000000"/>
        </w:rPr>
        <w:t xml:space="preserve">Assistant </w:t>
      </w:r>
      <w:r w:rsidR="005103EB" w:rsidRPr="00ED5AD0">
        <w:rPr>
          <w:b/>
          <w:snapToGrid w:val="0"/>
          <w:color w:val="000000"/>
        </w:rPr>
        <w:t>Director</w:t>
      </w:r>
      <w:r w:rsidR="00EB0C8E" w:rsidRPr="00ED5AD0">
        <w:rPr>
          <w:b/>
          <w:snapToGrid w:val="0"/>
          <w:color w:val="000000"/>
        </w:rPr>
        <w:t>s.</w:t>
      </w:r>
      <w:r w:rsidRPr="00ED5AD0">
        <w:rPr>
          <w:b/>
          <w:snapToGrid w:val="0"/>
          <w:color w:val="000000"/>
        </w:rPr>
        <w:t xml:space="preserve">   </w:t>
      </w:r>
    </w:p>
    <w:p w14:paraId="051545D0" w14:textId="77777777" w:rsidR="00581587" w:rsidRPr="00ED5AD0" w:rsidRDefault="00581587" w:rsidP="00581587">
      <w:pPr>
        <w:widowControl w:val="0"/>
        <w:jc w:val="both"/>
        <w:rPr>
          <w:bCs/>
          <w:snapToGrid w:val="0"/>
          <w:color w:val="FF0000"/>
        </w:rPr>
      </w:pPr>
    </w:p>
    <w:p w14:paraId="1C23E39A" w14:textId="77777777" w:rsidR="00581587" w:rsidRPr="00ED5AD0" w:rsidRDefault="00581587" w:rsidP="00581587">
      <w:pPr>
        <w:widowControl w:val="0"/>
        <w:jc w:val="both"/>
        <w:rPr>
          <w:bCs/>
          <w:snapToGrid w:val="0"/>
          <w:color w:val="FF0000"/>
        </w:rPr>
      </w:pPr>
    </w:p>
    <w:p w14:paraId="27DF56C6" w14:textId="77777777" w:rsidR="00581587" w:rsidRPr="00ED5AD0" w:rsidRDefault="00581587" w:rsidP="00581587">
      <w:pPr>
        <w:spacing w:after="200" w:line="276" w:lineRule="auto"/>
        <w:rPr>
          <w:b/>
          <w:snapToGrid w:val="0"/>
          <w:color w:val="FF0000"/>
        </w:rPr>
      </w:pPr>
      <w:r w:rsidRPr="00ED5AD0">
        <w:rPr>
          <w:b/>
          <w:snapToGrid w:val="0"/>
          <w:color w:val="000000"/>
        </w:rPr>
        <w:t>4.2 Flexible Retirement</w:t>
      </w:r>
    </w:p>
    <w:p w14:paraId="3E10BCE0" w14:textId="77777777" w:rsidR="00581587" w:rsidRPr="00ED5AD0" w:rsidRDefault="00581587" w:rsidP="00581587">
      <w:pPr>
        <w:widowControl w:val="0"/>
        <w:jc w:val="both"/>
        <w:rPr>
          <w:bCs/>
          <w:snapToGrid w:val="0"/>
          <w:color w:val="000000"/>
        </w:rPr>
      </w:pPr>
      <w:r w:rsidRPr="00ED5AD0">
        <w:rPr>
          <w:bCs/>
          <w:snapToGrid w:val="0"/>
          <w:color w:val="000000"/>
        </w:rPr>
        <w:t>The Local Government Pension Scheme Regulations (LGPS) allows members aged 55 or over, with their employer’s consent, to take their pension following a reduction in grade or hours and opt to receive the immediate payment of their pension benefits whilst still working.  The Council has published its discretion decisions relating to flexible retirement. In essence, a request for flexible retirement made by an employee will be supported if it suits the business need and a financial business case can be supported. For employees aged between 55 and 59 there will always be a cost to the council for flexible retirement (and for some employees aged 60 or over on a case-by-case basis) and this cost will need to be accounted for in any decision made.</w:t>
      </w:r>
    </w:p>
    <w:p w14:paraId="232ABA23" w14:textId="77777777" w:rsidR="00581587" w:rsidRPr="00ED5AD0" w:rsidRDefault="00581587" w:rsidP="00581587">
      <w:pPr>
        <w:widowControl w:val="0"/>
        <w:jc w:val="both"/>
        <w:rPr>
          <w:bCs/>
          <w:snapToGrid w:val="0"/>
          <w:color w:val="000000"/>
        </w:rPr>
      </w:pPr>
    </w:p>
    <w:p w14:paraId="3933A59C" w14:textId="18E2ABEE" w:rsidR="00581587" w:rsidRPr="00ED5AD0" w:rsidRDefault="00581587" w:rsidP="00581587">
      <w:pPr>
        <w:widowControl w:val="0"/>
        <w:jc w:val="both"/>
        <w:rPr>
          <w:bCs/>
          <w:snapToGrid w:val="0"/>
          <w:color w:val="000000"/>
        </w:rPr>
      </w:pPr>
      <w:r w:rsidRPr="00ED5AD0">
        <w:rPr>
          <w:bCs/>
          <w:snapToGrid w:val="0"/>
          <w:color w:val="000000"/>
        </w:rPr>
        <w:t xml:space="preserve">The local Flexible Retirement Policy is shown at </w:t>
      </w:r>
      <w:r w:rsidRPr="00ED5AD0">
        <w:rPr>
          <w:b/>
          <w:snapToGrid w:val="0"/>
          <w:color w:val="000000"/>
        </w:rPr>
        <w:t xml:space="preserve">Appendix </w:t>
      </w:r>
      <w:r w:rsidR="00EB0C8E" w:rsidRPr="00ED5AD0">
        <w:rPr>
          <w:b/>
          <w:snapToGrid w:val="0"/>
          <w:color w:val="000000"/>
        </w:rPr>
        <w:t>L</w:t>
      </w:r>
      <w:r w:rsidRPr="00ED5AD0">
        <w:rPr>
          <w:bCs/>
          <w:snapToGrid w:val="0"/>
          <w:color w:val="000000"/>
        </w:rPr>
        <w:t>.</w:t>
      </w:r>
    </w:p>
    <w:p w14:paraId="0D6523CC" w14:textId="77777777" w:rsidR="00581587" w:rsidRPr="00ED5AD0" w:rsidRDefault="00581587" w:rsidP="00581587">
      <w:pPr>
        <w:widowControl w:val="0"/>
        <w:jc w:val="both"/>
        <w:rPr>
          <w:bCs/>
          <w:snapToGrid w:val="0"/>
          <w:color w:val="000000"/>
        </w:rPr>
      </w:pPr>
    </w:p>
    <w:p w14:paraId="7C1AFF94" w14:textId="48242143" w:rsidR="00581587" w:rsidRPr="00ED5AD0" w:rsidRDefault="00581587" w:rsidP="00581587">
      <w:pPr>
        <w:widowControl w:val="0"/>
        <w:jc w:val="both"/>
        <w:rPr>
          <w:bCs/>
          <w:snapToGrid w:val="0"/>
          <w:color w:val="000000"/>
        </w:rPr>
      </w:pPr>
      <w:r w:rsidRPr="00ED5AD0">
        <w:rPr>
          <w:bCs/>
          <w:snapToGrid w:val="0"/>
          <w:color w:val="000000"/>
        </w:rPr>
        <w:t>Where an employee makes a request to retire flexibly, they must first gain support for the reduction in working hours or pay grade from their</w:t>
      </w:r>
      <w:r w:rsidR="00EB0C8E" w:rsidRPr="00ED5AD0">
        <w:rPr>
          <w:bCs/>
          <w:snapToGrid w:val="0"/>
          <w:color w:val="000000"/>
        </w:rPr>
        <w:t xml:space="preserve"> Assistant </w:t>
      </w:r>
      <w:r w:rsidR="005103EB" w:rsidRPr="00ED5AD0">
        <w:rPr>
          <w:bCs/>
          <w:snapToGrid w:val="0"/>
          <w:color w:val="000000"/>
        </w:rPr>
        <w:t>Director</w:t>
      </w:r>
      <w:r w:rsidRPr="00ED5AD0">
        <w:rPr>
          <w:bCs/>
          <w:snapToGrid w:val="0"/>
          <w:color w:val="000000"/>
        </w:rPr>
        <w:t xml:space="preserve">. If there is no pension strain </w:t>
      </w:r>
      <w:proofErr w:type="gramStart"/>
      <w:r w:rsidRPr="00ED5AD0">
        <w:rPr>
          <w:bCs/>
          <w:snapToGrid w:val="0"/>
          <w:color w:val="000000"/>
        </w:rPr>
        <w:t>cost</w:t>
      </w:r>
      <w:proofErr w:type="gramEnd"/>
      <w:r w:rsidRPr="00ED5AD0">
        <w:rPr>
          <w:bCs/>
          <w:snapToGrid w:val="0"/>
          <w:color w:val="000000"/>
        </w:rPr>
        <w:t xml:space="preserve"> then the decision will rest with the </w:t>
      </w:r>
      <w:r w:rsidR="00EB0C8E" w:rsidRPr="00ED5AD0">
        <w:rPr>
          <w:bCs/>
          <w:snapToGrid w:val="0"/>
          <w:color w:val="000000"/>
        </w:rPr>
        <w:t xml:space="preserve">Assistant </w:t>
      </w:r>
      <w:r w:rsidR="005103EB" w:rsidRPr="00ED5AD0">
        <w:rPr>
          <w:bCs/>
          <w:snapToGrid w:val="0"/>
          <w:color w:val="000000"/>
        </w:rPr>
        <w:t>Director</w:t>
      </w:r>
      <w:r w:rsidRPr="00ED5AD0">
        <w:rPr>
          <w:bCs/>
          <w:snapToGrid w:val="0"/>
          <w:color w:val="000000"/>
        </w:rPr>
        <w:t xml:space="preserve">. An employee taking early retirement will normally receive a reduced pension and in this </w:t>
      </w:r>
      <w:proofErr w:type="gramStart"/>
      <w:r w:rsidRPr="00ED5AD0">
        <w:rPr>
          <w:bCs/>
          <w:snapToGrid w:val="0"/>
          <w:color w:val="000000"/>
        </w:rPr>
        <w:t>case</w:t>
      </w:r>
      <w:proofErr w:type="gramEnd"/>
      <w:r w:rsidRPr="00ED5AD0">
        <w:rPr>
          <w:bCs/>
          <w:snapToGrid w:val="0"/>
          <w:color w:val="000000"/>
        </w:rPr>
        <w:t xml:space="preserve"> there should be no pension strain cost to be met by the employer. In any case where the early release of pension would result in a pension strain cost to the authority, approval for the release of pension will be subject to permission from the Council through the Appeals and Early Retirement Committee.</w:t>
      </w:r>
    </w:p>
    <w:p w14:paraId="32CBD2FE" w14:textId="77777777" w:rsidR="00581587" w:rsidRPr="00ED5AD0" w:rsidRDefault="00581587" w:rsidP="00581587">
      <w:pPr>
        <w:widowControl w:val="0"/>
        <w:jc w:val="both"/>
        <w:rPr>
          <w:bCs/>
          <w:snapToGrid w:val="0"/>
          <w:color w:val="000000"/>
        </w:rPr>
      </w:pPr>
    </w:p>
    <w:p w14:paraId="506A286C" w14:textId="77777777" w:rsidR="00581587" w:rsidRPr="00ED5AD0" w:rsidRDefault="00581587" w:rsidP="00581587">
      <w:pPr>
        <w:widowControl w:val="0"/>
        <w:jc w:val="both"/>
        <w:rPr>
          <w:bCs/>
          <w:snapToGrid w:val="0"/>
          <w:color w:val="000000"/>
        </w:rPr>
      </w:pPr>
    </w:p>
    <w:p w14:paraId="139DA263" w14:textId="77777777" w:rsidR="00581587" w:rsidRPr="00ED5AD0" w:rsidRDefault="00581587" w:rsidP="00581587">
      <w:pPr>
        <w:widowControl w:val="0"/>
        <w:jc w:val="both"/>
        <w:rPr>
          <w:b/>
          <w:snapToGrid w:val="0"/>
          <w:color w:val="000000"/>
        </w:rPr>
      </w:pPr>
      <w:r w:rsidRPr="00ED5AD0">
        <w:rPr>
          <w:b/>
          <w:snapToGrid w:val="0"/>
          <w:color w:val="000000"/>
        </w:rPr>
        <w:t>4.3 Redundancy</w:t>
      </w:r>
    </w:p>
    <w:p w14:paraId="216B59B4" w14:textId="77777777" w:rsidR="00581587" w:rsidRPr="00ED5AD0" w:rsidRDefault="00581587" w:rsidP="00581587">
      <w:pPr>
        <w:widowControl w:val="0"/>
        <w:jc w:val="both"/>
        <w:rPr>
          <w:bCs/>
          <w:snapToGrid w:val="0"/>
          <w:color w:val="000000"/>
        </w:rPr>
      </w:pPr>
    </w:p>
    <w:p w14:paraId="2E5D0889" w14:textId="77777777" w:rsidR="00581587" w:rsidRPr="00ED5AD0" w:rsidRDefault="00581587" w:rsidP="00581587">
      <w:pPr>
        <w:widowControl w:val="0"/>
        <w:jc w:val="both"/>
        <w:rPr>
          <w:b/>
          <w:snapToGrid w:val="0"/>
          <w:color w:val="000000"/>
        </w:rPr>
      </w:pPr>
      <w:r w:rsidRPr="00ED5AD0">
        <w:rPr>
          <w:b/>
          <w:snapToGrid w:val="0"/>
          <w:color w:val="000000"/>
        </w:rPr>
        <w:t>4.3.1 Definition</w:t>
      </w:r>
    </w:p>
    <w:p w14:paraId="421D47CF" w14:textId="77777777" w:rsidR="00581587" w:rsidRPr="00ED5AD0" w:rsidRDefault="00581587" w:rsidP="00581587">
      <w:pPr>
        <w:widowControl w:val="0"/>
        <w:jc w:val="both"/>
        <w:rPr>
          <w:bCs/>
          <w:snapToGrid w:val="0"/>
          <w:color w:val="000000"/>
        </w:rPr>
      </w:pPr>
      <w:r w:rsidRPr="00ED5AD0">
        <w:rPr>
          <w:bCs/>
          <w:snapToGrid w:val="0"/>
          <w:color w:val="000000"/>
        </w:rPr>
        <w:t>This is defined within the Employment Rights Act as a dismissal which is attributable wholly or mainly to the fact that:</w:t>
      </w:r>
    </w:p>
    <w:p w14:paraId="7858BA72" w14:textId="77777777" w:rsidR="00581587" w:rsidRPr="00ED5AD0" w:rsidRDefault="00581587" w:rsidP="00581587">
      <w:pPr>
        <w:widowControl w:val="0"/>
        <w:jc w:val="both"/>
        <w:rPr>
          <w:bCs/>
          <w:snapToGrid w:val="0"/>
          <w:color w:val="000000"/>
        </w:rPr>
      </w:pPr>
    </w:p>
    <w:p w14:paraId="7EF596FB" w14:textId="77777777" w:rsidR="00581587" w:rsidRPr="00ED5AD0" w:rsidRDefault="00581587" w:rsidP="00581587">
      <w:pPr>
        <w:autoSpaceDE w:val="0"/>
        <w:autoSpaceDN w:val="0"/>
        <w:adjustRightInd w:val="0"/>
        <w:ind w:left="426" w:hanging="426"/>
        <w:rPr>
          <w:rFonts w:eastAsia="Calibri" w:cs="Arial"/>
          <w:color w:val="000000"/>
          <w:szCs w:val="24"/>
        </w:rPr>
      </w:pP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eastAsia="Calibri" w:cs="Arial"/>
          <w:color w:val="000000"/>
          <w:szCs w:val="24"/>
        </w:rPr>
        <w:t>the employer has ceased, or intends to cease, to carry on the business for the purposes of which the employee was employed or has ceased, or intends to cease, to carry on that business in the place where the employee was so employed; or</w:t>
      </w:r>
    </w:p>
    <w:p w14:paraId="2EAE06DB" w14:textId="77777777" w:rsidR="00581587" w:rsidRPr="00ED5AD0" w:rsidRDefault="00581587" w:rsidP="00581587">
      <w:pPr>
        <w:autoSpaceDE w:val="0"/>
        <w:autoSpaceDN w:val="0"/>
        <w:adjustRightInd w:val="0"/>
        <w:ind w:left="426" w:hanging="426"/>
        <w:rPr>
          <w:rFonts w:eastAsia="Calibri" w:cs="Arial"/>
          <w:color w:val="000000"/>
          <w:szCs w:val="24"/>
        </w:rPr>
      </w:pPr>
    </w:p>
    <w:p w14:paraId="6549DA25" w14:textId="77777777" w:rsidR="00581587" w:rsidRPr="00ED5AD0" w:rsidRDefault="00581587" w:rsidP="00581587">
      <w:pPr>
        <w:autoSpaceDE w:val="0"/>
        <w:autoSpaceDN w:val="0"/>
        <w:adjustRightInd w:val="0"/>
        <w:ind w:left="426" w:hanging="426"/>
        <w:rPr>
          <w:rFonts w:eastAsia="Calibri" w:cs="Arial"/>
          <w:color w:val="000000"/>
          <w:szCs w:val="24"/>
        </w:rPr>
      </w:pPr>
      <w:r w:rsidRPr="00ED5AD0">
        <w:rPr>
          <w:rFonts w:ascii="Symbol" w:eastAsia="Calibri" w:hAnsi="Symbol" w:cs="Symbol"/>
          <w:color w:val="000000"/>
          <w:szCs w:val="24"/>
        </w:rPr>
        <w:lastRenderedPageBreak/>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ascii="Symbol" w:eastAsia="Calibri" w:hAnsi="Symbol" w:cs="Symbol"/>
          <w:color w:val="000000"/>
          <w:szCs w:val="24"/>
        </w:rPr>
        <w:t></w:t>
      </w:r>
      <w:r w:rsidRPr="00ED5AD0">
        <w:rPr>
          <w:rFonts w:eastAsia="Calibri" w:cs="Arial"/>
          <w:color w:val="000000"/>
          <w:szCs w:val="24"/>
        </w:rPr>
        <w:t>the requirements of that business for employees to carry out work of a particular kind, or for employees to carry out work of a particular kind in the place where they were so employed, have ceased or diminished or are expected to cease or diminish.</w:t>
      </w:r>
    </w:p>
    <w:p w14:paraId="5D42AE6F" w14:textId="77777777" w:rsidR="00581587" w:rsidRPr="00ED5AD0" w:rsidRDefault="00581587" w:rsidP="00581587">
      <w:pPr>
        <w:widowControl w:val="0"/>
        <w:jc w:val="both"/>
        <w:rPr>
          <w:bCs/>
          <w:snapToGrid w:val="0"/>
          <w:color w:val="000000"/>
        </w:rPr>
      </w:pPr>
    </w:p>
    <w:p w14:paraId="622AAEDD" w14:textId="77777777" w:rsidR="00581587" w:rsidRPr="00ED5AD0" w:rsidRDefault="00581587" w:rsidP="00581587">
      <w:pPr>
        <w:widowControl w:val="0"/>
        <w:jc w:val="both"/>
        <w:rPr>
          <w:bCs/>
          <w:snapToGrid w:val="0"/>
          <w:color w:val="000000"/>
        </w:rPr>
      </w:pPr>
      <w:r w:rsidRPr="00ED5AD0">
        <w:rPr>
          <w:bCs/>
          <w:snapToGrid w:val="0"/>
          <w:color w:val="000000"/>
        </w:rPr>
        <w:t>For the purposes of the interpretation of local policy, there is no differentiation between voluntary or compulsory redundancy except where relevant to the facts of the situation.</w:t>
      </w:r>
    </w:p>
    <w:p w14:paraId="1A834C9F" w14:textId="77777777" w:rsidR="00581587" w:rsidRPr="00ED5AD0" w:rsidRDefault="00581587" w:rsidP="00581587">
      <w:pPr>
        <w:widowControl w:val="0"/>
        <w:jc w:val="both"/>
        <w:rPr>
          <w:bCs/>
          <w:snapToGrid w:val="0"/>
          <w:color w:val="000000"/>
        </w:rPr>
      </w:pPr>
    </w:p>
    <w:p w14:paraId="3A1F3EA9" w14:textId="77777777" w:rsidR="00581587" w:rsidRPr="00ED5AD0" w:rsidRDefault="00581587" w:rsidP="00581587">
      <w:pPr>
        <w:widowControl w:val="0"/>
        <w:jc w:val="both"/>
        <w:rPr>
          <w:bCs/>
          <w:snapToGrid w:val="0"/>
          <w:color w:val="000000"/>
        </w:rPr>
      </w:pPr>
    </w:p>
    <w:p w14:paraId="5BB3BD7F" w14:textId="77777777" w:rsidR="00581587" w:rsidRPr="00ED5AD0" w:rsidRDefault="00581587" w:rsidP="00581587">
      <w:pPr>
        <w:widowControl w:val="0"/>
        <w:jc w:val="both"/>
        <w:rPr>
          <w:b/>
          <w:snapToGrid w:val="0"/>
          <w:color w:val="000000"/>
        </w:rPr>
      </w:pPr>
      <w:r w:rsidRPr="00ED5AD0">
        <w:rPr>
          <w:b/>
          <w:snapToGrid w:val="0"/>
          <w:color w:val="000000"/>
        </w:rPr>
        <w:t>4.3.2 General Procedure</w:t>
      </w:r>
    </w:p>
    <w:p w14:paraId="1979A4C1" w14:textId="77777777" w:rsidR="00581587" w:rsidRPr="00ED5AD0" w:rsidRDefault="00581587" w:rsidP="00581587">
      <w:pPr>
        <w:widowControl w:val="0"/>
        <w:jc w:val="both"/>
        <w:rPr>
          <w:bCs/>
          <w:snapToGrid w:val="0"/>
          <w:color w:val="000000"/>
        </w:rPr>
      </w:pPr>
      <w:r w:rsidRPr="00ED5AD0">
        <w:rPr>
          <w:bCs/>
          <w:snapToGrid w:val="0"/>
          <w:color w:val="000000"/>
        </w:rPr>
        <w:t xml:space="preserve">Where a potential redundancy situation </w:t>
      </w:r>
      <w:proofErr w:type="gramStart"/>
      <w:r w:rsidRPr="00ED5AD0">
        <w:rPr>
          <w:bCs/>
          <w:snapToGrid w:val="0"/>
          <w:color w:val="000000"/>
        </w:rPr>
        <w:t>arises</w:t>
      </w:r>
      <w:proofErr w:type="gramEnd"/>
      <w:r w:rsidRPr="00ED5AD0">
        <w:rPr>
          <w:bCs/>
          <w:snapToGrid w:val="0"/>
          <w:color w:val="000000"/>
        </w:rPr>
        <w:t xml:space="preserve"> there will be consultation with the Trade Unions and affected employees as required by the Trade Union and Labour Relations (Consolidation) Act.  The periods of time set aside for consultation will meet with legislative requirement as a minimum. Through local convention, for proposals that affect fewer than 20 employees, where possible a consultation period of at least 30 days will also be applied.</w:t>
      </w:r>
    </w:p>
    <w:p w14:paraId="6AB23E00" w14:textId="77777777" w:rsidR="00581587" w:rsidRPr="00ED5AD0" w:rsidRDefault="00581587" w:rsidP="00581587">
      <w:pPr>
        <w:widowControl w:val="0"/>
        <w:jc w:val="both"/>
        <w:rPr>
          <w:bCs/>
          <w:snapToGrid w:val="0"/>
          <w:color w:val="000000"/>
        </w:rPr>
      </w:pPr>
    </w:p>
    <w:p w14:paraId="5301878D" w14:textId="77777777" w:rsidR="00581587" w:rsidRPr="00ED5AD0" w:rsidRDefault="00581587" w:rsidP="00581587">
      <w:pPr>
        <w:widowControl w:val="0"/>
        <w:jc w:val="both"/>
        <w:rPr>
          <w:bCs/>
          <w:snapToGrid w:val="0"/>
          <w:color w:val="000000"/>
        </w:rPr>
      </w:pPr>
      <w:r w:rsidRPr="00ED5AD0">
        <w:rPr>
          <w:bCs/>
          <w:snapToGrid w:val="0"/>
          <w:color w:val="000000"/>
        </w:rPr>
        <w:t xml:space="preserve">The reasons for proposing a redundancy and the business case to support the proposal will be clearly stated and made available during consultation. </w:t>
      </w:r>
    </w:p>
    <w:p w14:paraId="7CBA083B" w14:textId="77777777" w:rsidR="00581587" w:rsidRPr="00ED5AD0" w:rsidRDefault="00581587" w:rsidP="00581587">
      <w:pPr>
        <w:widowControl w:val="0"/>
        <w:jc w:val="both"/>
        <w:rPr>
          <w:bCs/>
          <w:snapToGrid w:val="0"/>
          <w:color w:val="000000"/>
        </w:rPr>
      </w:pPr>
    </w:p>
    <w:p w14:paraId="07DAC1BD" w14:textId="77777777" w:rsidR="00581587" w:rsidRPr="00ED5AD0" w:rsidRDefault="00581587" w:rsidP="00581587">
      <w:pPr>
        <w:widowControl w:val="0"/>
        <w:jc w:val="both"/>
        <w:rPr>
          <w:bCs/>
          <w:snapToGrid w:val="0"/>
          <w:color w:val="000000"/>
        </w:rPr>
      </w:pPr>
      <w:r w:rsidRPr="00ED5AD0">
        <w:rPr>
          <w:bCs/>
          <w:snapToGrid w:val="0"/>
          <w:color w:val="000000"/>
        </w:rPr>
        <w:t>Efforts will be taken to avoid redundancies, whether voluntary or compulsory through the following steps:</w:t>
      </w:r>
    </w:p>
    <w:p w14:paraId="6E471E57" w14:textId="77777777" w:rsidR="00581587" w:rsidRPr="00ED5AD0" w:rsidRDefault="00581587" w:rsidP="00581587">
      <w:pPr>
        <w:widowControl w:val="0"/>
        <w:jc w:val="both"/>
        <w:rPr>
          <w:bCs/>
          <w:snapToGrid w:val="0"/>
          <w:color w:val="000000"/>
        </w:rPr>
      </w:pPr>
    </w:p>
    <w:p w14:paraId="3963CFAA" w14:textId="77777777" w:rsidR="00581587" w:rsidRPr="00ED5AD0" w:rsidRDefault="00581587" w:rsidP="00581587">
      <w:pPr>
        <w:widowControl w:val="0"/>
        <w:jc w:val="both"/>
        <w:rPr>
          <w:bCs/>
          <w:snapToGrid w:val="0"/>
          <w:color w:val="000000"/>
        </w:rPr>
      </w:pPr>
      <w:r w:rsidRPr="00ED5AD0">
        <w:rPr>
          <w:bCs/>
          <w:snapToGrid w:val="0"/>
          <w:color w:val="000000"/>
        </w:rPr>
        <w:t>Release any temporary employees with less than two years’ service to provide vacancies for employees at risk</w:t>
      </w:r>
    </w:p>
    <w:p w14:paraId="45228180" w14:textId="77777777" w:rsidR="00581587" w:rsidRPr="00ED5AD0" w:rsidRDefault="00581587" w:rsidP="00581587">
      <w:pPr>
        <w:widowControl w:val="0"/>
        <w:jc w:val="both"/>
        <w:rPr>
          <w:bCs/>
          <w:snapToGrid w:val="0"/>
          <w:color w:val="000000"/>
        </w:rPr>
      </w:pPr>
    </w:p>
    <w:p w14:paraId="57CEF60C" w14:textId="77777777" w:rsidR="00581587" w:rsidRPr="00ED5AD0" w:rsidRDefault="00581587" w:rsidP="00581587">
      <w:pPr>
        <w:widowControl w:val="0"/>
        <w:jc w:val="both"/>
        <w:rPr>
          <w:bCs/>
          <w:snapToGrid w:val="0"/>
          <w:color w:val="000000"/>
        </w:rPr>
      </w:pPr>
      <w:r w:rsidRPr="00ED5AD0">
        <w:rPr>
          <w:bCs/>
          <w:snapToGrid w:val="0"/>
          <w:color w:val="000000"/>
        </w:rPr>
        <w:t>Identify other existing vacancies of a similar work type either for deletion to make the necessary saving or for redeployment for employees at risk</w:t>
      </w:r>
    </w:p>
    <w:p w14:paraId="39C20F70" w14:textId="77777777" w:rsidR="00581587" w:rsidRPr="00ED5AD0" w:rsidRDefault="00581587" w:rsidP="00581587">
      <w:pPr>
        <w:widowControl w:val="0"/>
        <w:jc w:val="both"/>
        <w:rPr>
          <w:bCs/>
          <w:snapToGrid w:val="0"/>
          <w:color w:val="000000"/>
        </w:rPr>
      </w:pPr>
    </w:p>
    <w:p w14:paraId="64D716CC" w14:textId="77777777" w:rsidR="00581587" w:rsidRPr="00ED5AD0" w:rsidRDefault="00581587" w:rsidP="00581587">
      <w:pPr>
        <w:widowControl w:val="0"/>
        <w:jc w:val="both"/>
        <w:rPr>
          <w:bCs/>
          <w:snapToGrid w:val="0"/>
          <w:color w:val="000000"/>
        </w:rPr>
      </w:pPr>
      <w:r w:rsidRPr="00ED5AD0">
        <w:rPr>
          <w:bCs/>
          <w:snapToGrid w:val="0"/>
          <w:color w:val="000000"/>
        </w:rPr>
        <w:t>When appropriate in the view of the organisation, search for volunteers for redundancy where their release would provide redeployment for an employee at risk</w:t>
      </w:r>
    </w:p>
    <w:p w14:paraId="2A928B85" w14:textId="77777777" w:rsidR="00581587" w:rsidRPr="00ED5AD0" w:rsidRDefault="00581587" w:rsidP="00581587">
      <w:pPr>
        <w:widowControl w:val="0"/>
        <w:jc w:val="both"/>
        <w:rPr>
          <w:bCs/>
          <w:snapToGrid w:val="0"/>
          <w:color w:val="000000"/>
        </w:rPr>
      </w:pPr>
    </w:p>
    <w:p w14:paraId="52FF2703" w14:textId="77777777" w:rsidR="00581587" w:rsidRPr="00ED5AD0" w:rsidRDefault="00581587" w:rsidP="00581587">
      <w:pPr>
        <w:widowControl w:val="0"/>
        <w:jc w:val="both"/>
        <w:rPr>
          <w:bCs/>
          <w:snapToGrid w:val="0"/>
          <w:color w:val="000000"/>
        </w:rPr>
      </w:pPr>
      <w:r w:rsidRPr="00ED5AD0">
        <w:rPr>
          <w:bCs/>
          <w:snapToGrid w:val="0"/>
          <w:color w:val="000000"/>
        </w:rPr>
        <w:t xml:space="preserve">Freeze of relevant vacancies to ensure redeployment opportunities are maximised </w:t>
      </w:r>
    </w:p>
    <w:p w14:paraId="218872B0" w14:textId="77777777" w:rsidR="00581587" w:rsidRPr="00ED5AD0" w:rsidRDefault="00581587" w:rsidP="00581587">
      <w:pPr>
        <w:widowControl w:val="0"/>
        <w:jc w:val="both"/>
        <w:rPr>
          <w:bCs/>
          <w:snapToGrid w:val="0"/>
          <w:color w:val="000000"/>
        </w:rPr>
      </w:pPr>
    </w:p>
    <w:p w14:paraId="5A2EE575" w14:textId="77777777" w:rsidR="00EB0C8E" w:rsidRPr="00ED5AD0" w:rsidRDefault="00581587" w:rsidP="00581587">
      <w:pPr>
        <w:widowControl w:val="0"/>
        <w:jc w:val="both"/>
        <w:rPr>
          <w:bCs/>
          <w:snapToGrid w:val="0"/>
          <w:color w:val="000000"/>
        </w:rPr>
      </w:pPr>
      <w:r w:rsidRPr="00ED5AD0">
        <w:rPr>
          <w:bCs/>
          <w:snapToGrid w:val="0"/>
          <w:color w:val="000000"/>
        </w:rPr>
        <w:t>Personal counselling and retraining offered to employees at risk to maximise opportunities for redeployment</w:t>
      </w:r>
      <w:r w:rsidR="00EB0C8E" w:rsidRPr="00ED5AD0">
        <w:rPr>
          <w:bCs/>
          <w:snapToGrid w:val="0"/>
          <w:color w:val="000000"/>
        </w:rPr>
        <w:t xml:space="preserve">. </w:t>
      </w:r>
    </w:p>
    <w:p w14:paraId="3C951ABB" w14:textId="77777777" w:rsidR="00EB0C8E" w:rsidRPr="00ED5AD0" w:rsidRDefault="00EB0C8E" w:rsidP="00581587">
      <w:pPr>
        <w:widowControl w:val="0"/>
        <w:jc w:val="both"/>
        <w:rPr>
          <w:bCs/>
          <w:snapToGrid w:val="0"/>
          <w:color w:val="000000"/>
        </w:rPr>
      </w:pPr>
    </w:p>
    <w:p w14:paraId="63D67865" w14:textId="66ED66FE" w:rsidR="00581587" w:rsidRPr="00ED5AD0" w:rsidRDefault="00581587" w:rsidP="00581587">
      <w:pPr>
        <w:widowControl w:val="0"/>
        <w:jc w:val="both"/>
        <w:rPr>
          <w:bCs/>
          <w:snapToGrid w:val="0"/>
          <w:color w:val="000000"/>
        </w:rPr>
      </w:pPr>
      <w:r w:rsidRPr="00ED5AD0">
        <w:rPr>
          <w:bCs/>
          <w:snapToGrid w:val="0"/>
          <w:color w:val="000000"/>
        </w:rPr>
        <w:t xml:space="preserve">If it is likely that a process of selection for redundancy is </w:t>
      </w:r>
      <w:proofErr w:type="gramStart"/>
      <w:r w:rsidRPr="00ED5AD0">
        <w:rPr>
          <w:bCs/>
          <w:snapToGrid w:val="0"/>
          <w:color w:val="000000"/>
        </w:rPr>
        <w:t>necessary</w:t>
      </w:r>
      <w:proofErr w:type="gramEnd"/>
      <w:r w:rsidRPr="00ED5AD0">
        <w:rPr>
          <w:bCs/>
          <w:snapToGrid w:val="0"/>
          <w:color w:val="000000"/>
        </w:rPr>
        <w:t xml:space="preserve"> then a fair and equitable set of criteria will be established.  These will be different depending on the circumstances of the redundancy situation and will be subject to consultation with employees and trade Unions.</w:t>
      </w:r>
    </w:p>
    <w:p w14:paraId="35D5950E" w14:textId="77777777" w:rsidR="00581587" w:rsidRPr="00ED5AD0" w:rsidRDefault="00581587" w:rsidP="00581587">
      <w:pPr>
        <w:widowControl w:val="0"/>
        <w:jc w:val="both"/>
        <w:rPr>
          <w:bCs/>
          <w:snapToGrid w:val="0"/>
          <w:color w:val="FF0000"/>
        </w:rPr>
      </w:pPr>
    </w:p>
    <w:p w14:paraId="5DC4162C" w14:textId="77777777" w:rsidR="00581587" w:rsidRPr="00ED5AD0" w:rsidRDefault="00581587" w:rsidP="00581587">
      <w:pPr>
        <w:widowControl w:val="0"/>
        <w:jc w:val="both"/>
        <w:rPr>
          <w:b/>
          <w:snapToGrid w:val="0"/>
          <w:color w:val="000000"/>
        </w:rPr>
      </w:pPr>
      <w:r w:rsidRPr="00ED5AD0">
        <w:rPr>
          <w:b/>
          <w:snapToGrid w:val="0"/>
          <w:color w:val="000000"/>
        </w:rPr>
        <w:t xml:space="preserve">4.3.3 Discretionary payments relevant to redundancy </w:t>
      </w:r>
    </w:p>
    <w:p w14:paraId="469378E4" w14:textId="435CB456" w:rsidR="00581587" w:rsidRPr="00ED5AD0" w:rsidRDefault="00581587" w:rsidP="00581587">
      <w:pPr>
        <w:widowControl w:val="0"/>
        <w:jc w:val="both"/>
        <w:rPr>
          <w:bCs/>
          <w:snapToGrid w:val="0"/>
          <w:color w:val="000000"/>
        </w:rPr>
      </w:pPr>
      <w:r w:rsidRPr="00ED5AD0">
        <w:rPr>
          <w:bCs/>
          <w:snapToGrid w:val="0"/>
          <w:color w:val="000000"/>
        </w:rPr>
        <w:t xml:space="preserve">Decisions made under local discretions relevant to pension payment are detailed in the Council’s full set of local discretions that are published on our website. The relevant discretions to redundancy payment are made under the Local Government (Early Termination of </w:t>
      </w:r>
      <w:proofErr w:type="gramStart"/>
      <w:r w:rsidRPr="00ED5AD0">
        <w:rPr>
          <w:bCs/>
          <w:snapToGrid w:val="0"/>
          <w:color w:val="000000"/>
        </w:rPr>
        <w:t>Employment)(</w:t>
      </w:r>
      <w:proofErr w:type="gramEnd"/>
      <w:r w:rsidRPr="00ED5AD0">
        <w:rPr>
          <w:bCs/>
          <w:snapToGrid w:val="0"/>
          <w:color w:val="000000"/>
        </w:rPr>
        <w:t xml:space="preserve">Discretionary Compensation) (England and Wales) Regulations 2006.  Appendix </w:t>
      </w:r>
      <w:r w:rsidR="00EB0C8E" w:rsidRPr="00ED5AD0">
        <w:rPr>
          <w:bCs/>
          <w:snapToGrid w:val="0"/>
          <w:color w:val="000000"/>
        </w:rPr>
        <w:t>M</w:t>
      </w:r>
      <w:r w:rsidRPr="00ED5AD0">
        <w:rPr>
          <w:bCs/>
          <w:snapToGrid w:val="0"/>
          <w:color w:val="000000"/>
        </w:rPr>
        <w:t xml:space="preserve"> sets out how redundancy payments will be made and reflects these discretions.  </w:t>
      </w:r>
    </w:p>
    <w:p w14:paraId="229193AE" w14:textId="77777777" w:rsidR="00581587" w:rsidRPr="00ED5AD0" w:rsidRDefault="00581587" w:rsidP="00581587">
      <w:pPr>
        <w:widowControl w:val="0"/>
        <w:jc w:val="both"/>
        <w:rPr>
          <w:bCs/>
          <w:snapToGrid w:val="0"/>
          <w:color w:val="000000"/>
        </w:rPr>
      </w:pPr>
    </w:p>
    <w:p w14:paraId="45DB2D50" w14:textId="77777777" w:rsidR="00581587" w:rsidRPr="00ED5AD0" w:rsidRDefault="00581587" w:rsidP="00581587">
      <w:pPr>
        <w:widowControl w:val="0"/>
        <w:jc w:val="both"/>
        <w:rPr>
          <w:bCs/>
          <w:snapToGrid w:val="0"/>
          <w:color w:val="000000"/>
        </w:rPr>
      </w:pPr>
      <w:r w:rsidRPr="00ED5AD0">
        <w:rPr>
          <w:bCs/>
          <w:snapToGrid w:val="0"/>
          <w:color w:val="000000"/>
        </w:rPr>
        <w:t xml:space="preserve">In </w:t>
      </w:r>
      <w:proofErr w:type="gramStart"/>
      <w:r w:rsidRPr="00ED5AD0">
        <w:rPr>
          <w:bCs/>
          <w:snapToGrid w:val="0"/>
          <w:color w:val="000000"/>
        </w:rPr>
        <w:t>summary;</w:t>
      </w:r>
      <w:proofErr w:type="gramEnd"/>
    </w:p>
    <w:p w14:paraId="04662B43" w14:textId="77777777" w:rsidR="00581587" w:rsidRPr="00ED5AD0" w:rsidRDefault="00581587" w:rsidP="00D32888">
      <w:pPr>
        <w:widowControl w:val="0"/>
        <w:numPr>
          <w:ilvl w:val="0"/>
          <w:numId w:val="38"/>
        </w:numPr>
        <w:spacing w:after="200" w:line="276" w:lineRule="auto"/>
        <w:contextualSpacing/>
        <w:jc w:val="both"/>
        <w:rPr>
          <w:bCs/>
          <w:snapToGrid w:val="0"/>
          <w:color w:val="000000"/>
        </w:rPr>
      </w:pPr>
      <w:r w:rsidRPr="00ED5AD0">
        <w:rPr>
          <w:bCs/>
          <w:snapToGrid w:val="0"/>
          <w:color w:val="000000"/>
        </w:rPr>
        <w:t xml:space="preserve">The Council has determined that redundancy payments will be calculated on </w:t>
      </w:r>
      <w:r w:rsidRPr="00ED5AD0">
        <w:rPr>
          <w:bCs/>
          <w:snapToGrid w:val="0"/>
          <w:color w:val="000000"/>
        </w:rPr>
        <w:lastRenderedPageBreak/>
        <w:t xml:space="preserve">actual week’s pay.  </w:t>
      </w:r>
    </w:p>
    <w:p w14:paraId="5E964A9B" w14:textId="77777777" w:rsidR="00581587" w:rsidRPr="00ED5AD0" w:rsidRDefault="00581587" w:rsidP="00D32888">
      <w:pPr>
        <w:widowControl w:val="0"/>
        <w:numPr>
          <w:ilvl w:val="0"/>
          <w:numId w:val="38"/>
        </w:numPr>
        <w:autoSpaceDE w:val="0"/>
        <w:autoSpaceDN w:val="0"/>
        <w:adjustRightInd w:val="0"/>
        <w:spacing w:after="200" w:line="276" w:lineRule="auto"/>
        <w:contextualSpacing/>
        <w:rPr>
          <w:rFonts w:eastAsia="Calibri" w:cs="Arial"/>
          <w:color w:val="000000"/>
          <w:spacing w:val="-5"/>
          <w:szCs w:val="24"/>
        </w:rPr>
      </w:pPr>
      <w:r w:rsidRPr="00ED5AD0">
        <w:rPr>
          <w:rFonts w:eastAsia="Calibri" w:cs="Arial"/>
          <w:color w:val="000000"/>
          <w:spacing w:val="-5"/>
          <w:szCs w:val="24"/>
        </w:rPr>
        <w:t xml:space="preserve">A fixed additional local payment will be made for all dismissals due to the reason of redundancy. For redundancy dismissals this will be a compensatory payment equivalent to 30% of the value of the statutory redundancy payment (calculated using actual week’s pay); this to be paid in addition to any required statutory redundancy payment. </w:t>
      </w:r>
    </w:p>
    <w:p w14:paraId="46B90F06" w14:textId="77777777" w:rsidR="00581587" w:rsidRPr="00ED5AD0" w:rsidRDefault="00581587" w:rsidP="00581587">
      <w:pPr>
        <w:widowControl w:val="0"/>
        <w:jc w:val="both"/>
        <w:rPr>
          <w:bCs/>
          <w:snapToGrid w:val="0"/>
          <w:color w:val="FF0000"/>
        </w:rPr>
      </w:pPr>
    </w:p>
    <w:p w14:paraId="4482368A" w14:textId="77777777" w:rsidR="00581587" w:rsidRPr="00ED5AD0" w:rsidRDefault="00581587" w:rsidP="00581587">
      <w:pPr>
        <w:widowControl w:val="0"/>
        <w:jc w:val="both"/>
        <w:rPr>
          <w:b/>
          <w:snapToGrid w:val="0"/>
          <w:color w:val="000000"/>
        </w:rPr>
      </w:pPr>
      <w:r w:rsidRPr="00ED5AD0">
        <w:rPr>
          <w:b/>
          <w:snapToGrid w:val="0"/>
          <w:color w:val="000000"/>
        </w:rPr>
        <w:t>4.4 Efficiency of the Service</w:t>
      </w:r>
    </w:p>
    <w:p w14:paraId="52733269" w14:textId="77777777" w:rsidR="00581587" w:rsidRPr="00ED5AD0" w:rsidRDefault="00581587" w:rsidP="00581587">
      <w:pPr>
        <w:widowControl w:val="0"/>
        <w:jc w:val="both"/>
        <w:rPr>
          <w:bCs/>
          <w:snapToGrid w:val="0"/>
          <w:color w:val="000000"/>
        </w:rPr>
      </w:pPr>
    </w:p>
    <w:p w14:paraId="2861BDAA"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 xml:space="preserve">The LGPS recognises as a reason for release of pension, dismissals due to “efficiency of the service”; it is a form of early retirement. In essence a dismissal of this type will arise due to concerns expressed by the employer about the general business efficiency on the part of the employee and may relate to a single or combination of factors. </w:t>
      </w:r>
    </w:p>
    <w:p w14:paraId="48B5DC3A" w14:textId="77777777" w:rsidR="00581587" w:rsidRPr="00ED5AD0" w:rsidRDefault="00581587" w:rsidP="00581587">
      <w:pPr>
        <w:widowControl w:val="0"/>
        <w:jc w:val="both"/>
        <w:rPr>
          <w:rFonts w:cs="Arial"/>
          <w:bCs/>
          <w:snapToGrid w:val="0"/>
          <w:color w:val="000000"/>
        </w:rPr>
      </w:pPr>
    </w:p>
    <w:p w14:paraId="03CE8320" w14:textId="77777777" w:rsidR="00581587" w:rsidRPr="00ED5AD0" w:rsidRDefault="00581587" w:rsidP="00581587">
      <w:pPr>
        <w:widowControl w:val="0"/>
        <w:jc w:val="both"/>
        <w:rPr>
          <w:bCs/>
          <w:snapToGrid w:val="0"/>
          <w:color w:val="000000"/>
        </w:rPr>
      </w:pPr>
      <w:r w:rsidRPr="00ED5AD0">
        <w:rPr>
          <w:rFonts w:cs="Arial"/>
          <w:bCs/>
          <w:snapToGrid w:val="0"/>
          <w:color w:val="000000"/>
        </w:rPr>
        <w:t>Subject to an employee being at least age 55 with appropriate service length then early retirement and release of pension may be granted in cases where there is demonstrable business benefit to the Council (this may be financial or related to improvement in performance or quality of service delivery) arising from the decision.</w:t>
      </w:r>
    </w:p>
    <w:p w14:paraId="2489253D" w14:textId="77777777" w:rsidR="00581587" w:rsidRPr="00ED5AD0" w:rsidRDefault="00581587" w:rsidP="00581587">
      <w:pPr>
        <w:widowControl w:val="0"/>
        <w:jc w:val="both"/>
        <w:rPr>
          <w:bCs/>
          <w:snapToGrid w:val="0"/>
          <w:color w:val="000000"/>
        </w:rPr>
      </w:pPr>
    </w:p>
    <w:p w14:paraId="3C665AFE" w14:textId="77777777" w:rsidR="00581587" w:rsidRPr="00ED5AD0" w:rsidRDefault="00581587" w:rsidP="00581587">
      <w:pPr>
        <w:widowControl w:val="0"/>
        <w:jc w:val="both"/>
        <w:rPr>
          <w:bCs/>
          <w:snapToGrid w:val="0"/>
          <w:color w:val="000000"/>
        </w:rPr>
      </w:pPr>
      <w:r w:rsidRPr="00ED5AD0">
        <w:rPr>
          <w:bCs/>
          <w:snapToGrid w:val="0"/>
          <w:color w:val="000000"/>
        </w:rPr>
        <w:t xml:space="preserve">The Local Government (Early Termination of Employment) (Discretionary Compensation) (England and Wales) Regulations 2006 do allow for compensatory payments to be </w:t>
      </w:r>
      <w:proofErr w:type="gramStart"/>
      <w:r w:rsidRPr="00ED5AD0">
        <w:rPr>
          <w:bCs/>
          <w:snapToGrid w:val="0"/>
          <w:color w:val="000000"/>
        </w:rPr>
        <w:t>made</w:t>
      </w:r>
      <w:proofErr w:type="gramEnd"/>
      <w:r w:rsidRPr="00ED5AD0">
        <w:rPr>
          <w:bCs/>
          <w:snapToGrid w:val="0"/>
          <w:color w:val="000000"/>
        </w:rPr>
        <w:t xml:space="preserve"> and the Council has exercised its discretion as follows:</w:t>
      </w:r>
    </w:p>
    <w:p w14:paraId="3DBDA734" w14:textId="77777777" w:rsidR="00581587" w:rsidRPr="00ED5AD0" w:rsidRDefault="00581587" w:rsidP="00D32888">
      <w:pPr>
        <w:widowControl w:val="0"/>
        <w:numPr>
          <w:ilvl w:val="0"/>
          <w:numId w:val="38"/>
        </w:numPr>
        <w:autoSpaceDE w:val="0"/>
        <w:autoSpaceDN w:val="0"/>
        <w:adjustRightInd w:val="0"/>
        <w:spacing w:after="200" w:line="276" w:lineRule="auto"/>
        <w:contextualSpacing/>
        <w:rPr>
          <w:rFonts w:eastAsia="Calibri" w:cs="Arial"/>
          <w:color w:val="000000"/>
          <w:spacing w:val="-5"/>
          <w:szCs w:val="24"/>
        </w:rPr>
      </w:pPr>
      <w:r w:rsidRPr="00ED5AD0">
        <w:rPr>
          <w:rFonts w:eastAsia="Calibri" w:cs="Arial"/>
          <w:color w:val="000000"/>
          <w:spacing w:val="-5"/>
          <w:szCs w:val="24"/>
        </w:rPr>
        <w:t>A fixed local payment will be made for all dismissals due to the reason of efficiency of the service. For dismissals due to efficiency of the service a compensatory payment will be made equivalent to 30% of the value of a notional redundancy payment calculated using actual week’s pay as if the reason for dismissal was redundancy; there is no provision for any statutory payment and no other compensatory payment will be made.</w:t>
      </w:r>
    </w:p>
    <w:p w14:paraId="2FC44311" w14:textId="77777777" w:rsidR="00581587" w:rsidRPr="00ED5AD0" w:rsidRDefault="00581587" w:rsidP="00581587">
      <w:pPr>
        <w:widowControl w:val="0"/>
        <w:jc w:val="both"/>
        <w:rPr>
          <w:bCs/>
          <w:snapToGrid w:val="0"/>
          <w:color w:val="000000"/>
        </w:rPr>
      </w:pPr>
    </w:p>
    <w:p w14:paraId="174DC077" w14:textId="37840105" w:rsidR="00A2158F" w:rsidRPr="00ED5AD0" w:rsidRDefault="00581587" w:rsidP="00581587">
      <w:pPr>
        <w:widowControl w:val="0"/>
        <w:jc w:val="both"/>
        <w:rPr>
          <w:bCs/>
          <w:snapToGrid w:val="0"/>
          <w:color w:val="000000"/>
        </w:rPr>
      </w:pPr>
      <w:r w:rsidRPr="00ED5AD0">
        <w:rPr>
          <w:bCs/>
          <w:snapToGrid w:val="0"/>
          <w:color w:val="000000"/>
        </w:rPr>
        <w:t xml:space="preserve">This is detailed in </w:t>
      </w:r>
      <w:r w:rsidRPr="00ED5AD0">
        <w:rPr>
          <w:b/>
          <w:snapToGrid w:val="0"/>
          <w:color w:val="000000"/>
        </w:rPr>
        <w:t xml:space="preserve">Appendix </w:t>
      </w:r>
      <w:r w:rsidR="00E04C16" w:rsidRPr="00ED5AD0">
        <w:rPr>
          <w:b/>
          <w:snapToGrid w:val="0"/>
          <w:color w:val="000000"/>
        </w:rPr>
        <w:t>M</w:t>
      </w:r>
      <w:r w:rsidRPr="00ED5AD0">
        <w:rPr>
          <w:bCs/>
          <w:snapToGrid w:val="0"/>
          <w:color w:val="000000"/>
        </w:rPr>
        <w:t xml:space="preserve">. </w:t>
      </w:r>
    </w:p>
    <w:p w14:paraId="1CDD4E2E" w14:textId="77777777" w:rsidR="00581587" w:rsidRPr="00ED5AD0" w:rsidRDefault="00581587" w:rsidP="00581587">
      <w:pPr>
        <w:widowControl w:val="0"/>
        <w:jc w:val="both"/>
        <w:rPr>
          <w:bCs/>
          <w:snapToGrid w:val="0"/>
          <w:color w:val="000000"/>
        </w:rPr>
      </w:pPr>
      <w:r w:rsidRPr="00ED5AD0">
        <w:rPr>
          <w:bCs/>
          <w:snapToGrid w:val="0"/>
          <w:color w:val="000000"/>
        </w:rPr>
        <w:t xml:space="preserve"> </w:t>
      </w:r>
    </w:p>
    <w:p w14:paraId="710CEFFB" w14:textId="77777777" w:rsidR="00581587" w:rsidRPr="00ED5AD0" w:rsidRDefault="00581587" w:rsidP="00581587">
      <w:pPr>
        <w:widowControl w:val="0"/>
        <w:jc w:val="both"/>
        <w:rPr>
          <w:b/>
          <w:snapToGrid w:val="0"/>
          <w:color w:val="000000"/>
          <w:u w:val="single"/>
        </w:rPr>
      </w:pPr>
      <w:r w:rsidRPr="00ED5AD0">
        <w:rPr>
          <w:b/>
          <w:snapToGrid w:val="0"/>
          <w:color w:val="000000"/>
        </w:rPr>
        <w:t>5.    Financial Implications</w:t>
      </w:r>
    </w:p>
    <w:p w14:paraId="185F7602" w14:textId="77777777" w:rsidR="00581587" w:rsidRPr="00ED5AD0" w:rsidRDefault="00581587" w:rsidP="00581587">
      <w:pPr>
        <w:widowControl w:val="0"/>
        <w:jc w:val="both"/>
        <w:rPr>
          <w:bCs/>
          <w:snapToGrid w:val="0"/>
          <w:color w:val="000000"/>
          <w:u w:val="single"/>
        </w:rPr>
      </w:pPr>
    </w:p>
    <w:p w14:paraId="213EEE17" w14:textId="77777777" w:rsidR="00581587" w:rsidRPr="00ED5AD0" w:rsidRDefault="00581587" w:rsidP="00581587">
      <w:pPr>
        <w:widowControl w:val="0"/>
        <w:jc w:val="both"/>
        <w:rPr>
          <w:bCs/>
          <w:snapToGrid w:val="0"/>
          <w:color w:val="000000"/>
        </w:rPr>
      </w:pPr>
      <w:r w:rsidRPr="00ED5AD0">
        <w:rPr>
          <w:bCs/>
          <w:snapToGrid w:val="0"/>
          <w:color w:val="000000"/>
        </w:rPr>
        <w:t>Employing departments are required to identify how the costs of redundancy or early retirement (other than ill-health) will be met as part of any proposals for organisational change.</w:t>
      </w:r>
    </w:p>
    <w:p w14:paraId="0640A726" w14:textId="77777777" w:rsidR="00581587" w:rsidRPr="00ED5AD0" w:rsidRDefault="00581587" w:rsidP="00581587">
      <w:pPr>
        <w:widowControl w:val="0"/>
        <w:jc w:val="both"/>
        <w:rPr>
          <w:bCs/>
          <w:snapToGrid w:val="0"/>
          <w:color w:val="000000"/>
        </w:rPr>
      </w:pPr>
    </w:p>
    <w:p w14:paraId="79591885" w14:textId="77777777" w:rsidR="00581587" w:rsidRPr="00ED5AD0" w:rsidRDefault="00581587" w:rsidP="00581587">
      <w:pPr>
        <w:widowControl w:val="0"/>
        <w:jc w:val="both"/>
        <w:rPr>
          <w:bCs/>
          <w:snapToGrid w:val="0"/>
          <w:color w:val="000000"/>
        </w:rPr>
      </w:pPr>
      <w:r w:rsidRPr="00ED5AD0">
        <w:rPr>
          <w:bCs/>
          <w:snapToGrid w:val="0"/>
          <w:color w:val="000000"/>
        </w:rPr>
        <w:t>5.1 For ill health retirements, this will not be necessary. Such dismissals will be based on personal circumstances of the employee and not on the organisational need. Costs of ill-health retirement will be met through shared corporate costs that are applied by the Pension Administering Authority (Nottinghamshire County Council) following a triennial actuarial revaluation of pension scheme costs.</w:t>
      </w:r>
    </w:p>
    <w:p w14:paraId="6A0E9D9A" w14:textId="77777777" w:rsidR="00581587" w:rsidRPr="00ED5AD0" w:rsidRDefault="00581587" w:rsidP="00581587">
      <w:pPr>
        <w:widowControl w:val="0"/>
        <w:jc w:val="both"/>
        <w:rPr>
          <w:bCs/>
          <w:snapToGrid w:val="0"/>
          <w:color w:val="000000"/>
        </w:rPr>
      </w:pPr>
    </w:p>
    <w:p w14:paraId="4DC0FD61" w14:textId="14F961BE" w:rsidR="00581587" w:rsidRPr="00ED5AD0" w:rsidRDefault="00581587" w:rsidP="00581587">
      <w:pPr>
        <w:widowControl w:val="0"/>
        <w:jc w:val="both"/>
        <w:rPr>
          <w:bCs/>
          <w:snapToGrid w:val="0"/>
          <w:color w:val="000000"/>
        </w:rPr>
      </w:pPr>
      <w:r w:rsidRPr="00ED5AD0">
        <w:rPr>
          <w:bCs/>
          <w:snapToGrid w:val="0"/>
          <w:color w:val="000000"/>
        </w:rPr>
        <w:t xml:space="preserve">5.2 For early retirement cases proposed on grounds of efficiency of the service the </w:t>
      </w:r>
      <w:r w:rsidR="00355A68" w:rsidRPr="00ED5AD0">
        <w:rPr>
          <w:bCs/>
          <w:snapToGrid w:val="0"/>
          <w:color w:val="000000"/>
        </w:rPr>
        <w:t xml:space="preserve">Assistant </w:t>
      </w:r>
      <w:r w:rsidR="005103EB" w:rsidRPr="00ED5AD0">
        <w:rPr>
          <w:bCs/>
          <w:snapToGrid w:val="0"/>
          <w:color w:val="000000"/>
        </w:rPr>
        <w:t>Director</w:t>
      </w:r>
      <w:r w:rsidRPr="00ED5AD0">
        <w:rPr>
          <w:bCs/>
          <w:snapToGrid w:val="0"/>
          <w:color w:val="000000"/>
        </w:rPr>
        <w:t xml:space="preserve"> will need to identify how any pension strain costs arising from a decision can be met together with the costs arising from local discretionary payments. Subject to budgetary provision existing, authority to dismiss for this reason where there are no pension strain costs lies with the relevant</w:t>
      </w:r>
      <w:r w:rsidR="00355A68" w:rsidRPr="00ED5AD0">
        <w:rPr>
          <w:bCs/>
          <w:snapToGrid w:val="0"/>
          <w:color w:val="000000"/>
        </w:rPr>
        <w:t xml:space="preserve"> Assistant </w:t>
      </w:r>
      <w:r w:rsidR="005103EB" w:rsidRPr="00ED5AD0">
        <w:rPr>
          <w:bCs/>
          <w:snapToGrid w:val="0"/>
          <w:color w:val="000000"/>
        </w:rPr>
        <w:t>Director</w:t>
      </w:r>
      <w:r w:rsidRPr="00ED5AD0">
        <w:rPr>
          <w:bCs/>
          <w:snapToGrid w:val="0"/>
          <w:color w:val="000000"/>
        </w:rPr>
        <w:t xml:space="preserve">. Where pension strain costs will be payable by the Council then authority to implement the decision will </w:t>
      </w:r>
      <w:r w:rsidRPr="00ED5AD0">
        <w:rPr>
          <w:bCs/>
          <w:snapToGrid w:val="0"/>
          <w:color w:val="000000"/>
        </w:rPr>
        <w:lastRenderedPageBreak/>
        <w:t xml:space="preserve">rest with Senior Leadership Team. It may not be necessary for savings to be fully identified </w:t>
      </w:r>
      <w:proofErr w:type="gramStart"/>
      <w:r w:rsidRPr="00ED5AD0">
        <w:rPr>
          <w:bCs/>
          <w:snapToGrid w:val="0"/>
          <w:color w:val="000000"/>
        </w:rPr>
        <w:t>in order for</w:t>
      </w:r>
      <w:proofErr w:type="gramEnd"/>
      <w:r w:rsidRPr="00ED5AD0">
        <w:rPr>
          <w:bCs/>
          <w:snapToGrid w:val="0"/>
          <w:color w:val="000000"/>
        </w:rPr>
        <w:t xml:space="preserve"> authority to be given; an overall business case will be considered and benefits to the Council assessed by Senior Leadership Team.</w:t>
      </w:r>
    </w:p>
    <w:p w14:paraId="7FC5434F" w14:textId="77777777" w:rsidR="00581587" w:rsidRPr="00ED5AD0" w:rsidRDefault="00581587" w:rsidP="00581587">
      <w:pPr>
        <w:widowControl w:val="0"/>
        <w:jc w:val="both"/>
        <w:rPr>
          <w:bCs/>
          <w:snapToGrid w:val="0"/>
          <w:color w:val="000000"/>
        </w:rPr>
      </w:pPr>
    </w:p>
    <w:p w14:paraId="4DB41C11" w14:textId="0940A297" w:rsidR="00581587" w:rsidRPr="00ED5AD0" w:rsidRDefault="00581587" w:rsidP="00581587">
      <w:pPr>
        <w:widowControl w:val="0"/>
        <w:jc w:val="both"/>
        <w:rPr>
          <w:bCs/>
          <w:snapToGrid w:val="0"/>
          <w:color w:val="000000"/>
        </w:rPr>
      </w:pPr>
      <w:r w:rsidRPr="00ED5AD0">
        <w:rPr>
          <w:bCs/>
          <w:snapToGrid w:val="0"/>
          <w:color w:val="000000"/>
        </w:rPr>
        <w:t xml:space="preserve">5.3 For proposed redundancy (including early retirement cases) the </w:t>
      </w:r>
      <w:r w:rsidR="00355A68" w:rsidRPr="00ED5AD0">
        <w:rPr>
          <w:bCs/>
          <w:snapToGrid w:val="0"/>
          <w:color w:val="000000"/>
        </w:rPr>
        <w:t xml:space="preserve">Assistant </w:t>
      </w:r>
      <w:r w:rsidR="005103EB" w:rsidRPr="00ED5AD0">
        <w:rPr>
          <w:bCs/>
          <w:snapToGrid w:val="0"/>
          <w:color w:val="000000"/>
        </w:rPr>
        <w:t>Director</w:t>
      </w:r>
      <w:r w:rsidRPr="00ED5AD0">
        <w:rPr>
          <w:bCs/>
          <w:snapToGrid w:val="0"/>
          <w:color w:val="000000"/>
        </w:rPr>
        <w:t xml:space="preserve"> will need to identify how any redundancy (statutory and local costs) and pension strain costs arising from a decision can be met. Statutory and local redundancy payments will be made. As redundancy will arise from structural change then a fully costed proposal will be considered by Senior Leadership Team.</w:t>
      </w:r>
    </w:p>
    <w:p w14:paraId="11A5A773" w14:textId="77777777" w:rsidR="00581587" w:rsidRPr="00ED5AD0" w:rsidRDefault="00581587" w:rsidP="00581587">
      <w:pPr>
        <w:widowControl w:val="0"/>
        <w:jc w:val="both"/>
        <w:rPr>
          <w:bCs/>
          <w:snapToGrid w:val="0"/>
          <w:color w:val="000000"/>
        </w:rPr>
      </w:pPr>
      <w:r w:rsidRPr="00ED5AD0">
        <w:rPr>
          <w:bCs/>
          <w:snapToGrid w:val="0"/>
          <w:color w:val="000000"/>
        </w:rPr>
        <w:t xml:space="preserve">  </w:t>
      </w:r>
    </w:p>
    <w:p w14:paraId="1B159024" w14:textId="77777777" w:rsidR="00581587" w:rsidRPr="00ED5AD0" w:rsidRDefault="00581587" w:rsidP="00581587">
      <w:pPr>
        <w:widowControl w:val="0"/>
        <w:jc w:val="both"/>
        <w:rPr>
          <w:bCs/>
          <w:snapToGrid w:val="0"/>
          <w:color w:val="000000"/>
        </w:rPr>
      </w:pPr>
      <w:r w:rsidRPr="00ED5AD0">
        <w:rPr>
          <w:bCs/>
          <w:snapToGrid w:val="0"/>
          <w:color w:val="000000"/>
        </w:rPr>
        <w:t xml:space="preserve">5.4 In cases where early release of pension is requested through flexible retirement, a decision will be made </w:t>
      </w:r>
      <w:proofErr w:type="gramStart"/>
      <w:r w:rsidRPr="00ED5AD0">
        <w:rPr>
          <w:bCs/>
          <w:snapToGrid w:val="0"/>
          <w:color w:val="000000"/>
        </w:rPr>
        <w:t>taking into account</w:t>
      </w:r>
      <w:proofErr w:type="gramEnd"/>
      <w:r w:rsidRPr="00ED5AD0">
        <w:rPr>
          <w:bCs/>
          <w:snapToGrid w:val="0"/>
          <w:color w:val="000000"/>
        </w:rPr>
        <w:t xml:space="preserve"> both the financial business case and issues of service improvement. The process for decision-making is detailed in section 4.2. </w:t>
      </w:r>
    </w:p>
    <w:p w14:paraId="254772BF" w14:textId="77777777" w:rsidR="00581587" w:rsidRPr="00ED5AD0" w:rsidRDefault="00581587" w:rsidP="00581587">
      <w:pPr>
        <w:widowControl w:val="0"/>
        <w:jc w:val="both"/>
        <w:rPr>
          <w:bCs/>
          <w:snapToGrid w:val="0"/>
          <w:color w:val="000000"/>
        </w:rPr>
      </w:pPr>
    </w:p>
    <w:p w14:paraId="3070BB7F" w14:textId="21183AB5" w:rsidR="00652CF1" w:rsidRPr="00ED5AD0" w:rsidRDefault="00581587" w:rsidP="00586BA4">
      <w:pPr>
        <w:widowControl w:val="0"/>
        <w:jc w:val="right"/>
        <w:rPr>
          <w:rFonts w:cs="Arial"/>
          <w:b/>
          <w:szCs w:val="24"/>
        </w:rPr>
      </w:pPr>
      <w:r w:rsidRPr="00ED5AD0">
        <w:rPr>
          <w:bCs/>
          <w:snapToGrid w:val="0"/>
          <w:color w:val="000000"/>
        </w:rPr>
        <w:br w:type="page"/>
      </w:r>
      <w:r w:rsidRPr="00ED5AD0">
        <w:rPr>
          <w:b/>
          <w:snapToGrid w:val="0"/>
          <w:color w:val="000000"/>
        </w:rPr>
        <w:lastRenderedPageBreak/>
        <w:t xml:space="preserve"> </w:t>
      </w:r>
      <w:r w:rsidRPr="00ED5AD0">
        <w:rPr>
          <w:rFonts w:cs="Arial"/>
          <w:b/>
          <w:szCs w:val="24"/>
        </w:rPr>
        <w:t xml:space="preserve">Appendix </w:t>
      </w:r>
      <w:r w:rsidR="00586BA4" w:rsidRPr="00ED5AD0">
        <w:rPr>
          <w:rFonts w:cs="Arial"/>
          <w:b/>
          <w:szCs w:val="24"/>
        </w:rPr>
        <w:t>L</w:t>
      </w:r>
    </w:p>
    <w:p w14:paraId="6FD5D1F2" w14:textId="77777777" w:rsidR="00581587" w:rsidRPr="00ED5AD0" w:rsidRDefault="00581587" w:rsidP="00581587">
      <w:pPr>
        <w:widowControl w:val="0"/>
        <w:jc w:val="both"/>
        <w:rPr>
          <w:bCs/>
          <w:snapToGrid w:val="0"/>
          <w:color w:val="000000"/>
        </w:rPr>
      </w:pPr>
    </w:p>
    <w:p w14:paraId="78E436CF" w14:textId="77777777" w:rsidR="00581587" w:rsidRPr="00ED5AD0" w:rsidRDefault="00581587" w:rsidP="00581587">
      <w:pPr>
        <w:widowControl w:val="0"/>
        <w:jc w:val="center"/>
        <w:rPr>
          <w:b/>
          <w:caps/>
          <w:snapToGrid w:val="0"/>
          <w:color w:val="000000"/>
        </w:rPr>
      </w:pPr>
      <w:r w:rsidRPr="00ED5AD0">
        <w:rPr>
          <w:b/>
          <w:caps/>
          <w:snapToGrid w:val="0"/>
          <w:color w:val="000000"/>
        </w:rPr>
        <w:t>Flexible Retirement POLICY</w:t>
      </w:r>
    </w:p>
    <w:p w14:paraId="661793D0" w14:textId="77777777" w:rsidR="00581587" w:rsidRPr="00ED5AD0" w:rsidRDefault="00581587" w:rsidP="00581587">
      <w:pPr>
        <w:widowControl w:val="0"/>
        <w:jc w:val="both"/>
        <w:rPr>
          <w:bCs/>
          <w:snapToGrid w:val="0"/>
          <w:color w:val="000000"/>
        </w:rPr>
      </w:pPr>
    </w:p>
    <w:p w14:paraId="318E9311" w14:textId="77777777" w:rsidR="00581587" w:rsidRPr="00ED5AD0" w:rsidRDefault="00581587" w:rsidP="00581587">
      <w:pPr>
        <w:widowControl w:val="0"/>
        <w:jc w:val="both"/>
        <w:rPr>
          <w:b/>
          <w:snapToGrid w:val="0"/>
          <w:color w:val="000000"/>
        </w:rPr>
      </w:pPr>
      <w:r w:rsidRPr="00ED5AD0">
        <w:rPr>
          <w:b/>
          <w:snapToGrid w:val="0"/>
          <w:color w:val="000000"/>
        </w:rPr>
        <w:t>1.</w:t>
      </w:r>
      <w:r w:rsidRPr="00ED5AD0">
        <w:rPr>
          <w:b/>
          <w:snapToGrid w:val="0"/>
          <w:color w:val="000000"/>
        </w:rPr>
        <w:tab/>
        <w:t xml:space="preserve">The Scheme </w:t>
      </w:r>
    </w:p>
    <w:p w14:paraId="45ACBA5C" w14:textId="77777777" w:rsidR="00581587" w:rsidRPr="00ED5AD0" w:rsidRDefault="00581587" w:rsidP="00581587">
      <w:pPr>
        <w:widowControl w:val="0"/>
        <w:jc w:val="both"/>
        <w:rPr>
          <w:rFonts w:cs="Arial"/>
          <w:bCs/>
          <w:snapToGrid w:val="0"/>
          <w:color w:val="000000"/>
        </w:rPr>
      </w:pPr>
    </w:p>
    <w:p w14:paraId="0E762455" w14:textId="77777777" w:rsidR="00581587" w:rsidRPr="00ED5AD0" w:rsidRDefault="00581587" w:rsidP="00581587">
      <w:pPr>
        <w:widowControl w:val="0"/>
        <w:jc w:val="both"/>
        <w:rPr>
          <w:bCs/>
          <w:snapToGrid w:val="0"/>
          <w:color w:val="000000"/>
        </w:rPr>
      </w:pPr>
      <w:r w:rsidRPr="00ED5AD0">
        <w:rPr>
          <w:bCs/>
          <w:snapToGrid w:val="0"/>
          <w:color w:val="000000"/>
        </w:rPr>
        <w:t xml:space="preserve">Employees aged 55 or over </w:t>
      </w:r>
      <w:proofErr w:type="gramStart"/>
      <w:r w:rsidRPr="00ED5AD0">
        <w:rPr>
          <w:bCs/>
          <w:snapToGrid w:val="0"/>
          <w:color w:val="000000"/>
        </w:rPr>
        <w:t>are able to</w:t>
      </w:r>
      <w:proofErr w:type="gramEnd"/>
      <w:r w:rsidRPr="00ED5AD0">
        <w:rPr>
          <w:bCs/>
          <w:snapToGrid w:val="0"/>
          <w:color w:val="000000"/>
        </w:rPr>
        <w:t xml:space="preserve"> draw their pension benefits whist continuing in employment on reduced hours or on a reduced grade with the consent of the Council. This is known as ‘flexible retirement’.  </w:t>
      </w:r>
    </w:p>
    <w:p w14:paraId="655C7A3D" w14:textId="77777777" w:rsidR="00581587" w:rsidRPr="00ED5AD0" w:rsidRDefault="00581587" w:rsidP="00581587">
      <w:pPr>
        <w:widowControl w:val="0"/>
        <w:jc w:val="both"/>
        <w:rPr>
          <w:bCs/>
          <w:snapToGrid w:val="0"/>
          <w:color w:val="000000"/>
        </w:rPr>
      </w:pPr>
    </w:p>
    <w:p w14:paraId="27CA5A31" w14:textId="77777777" w:rsidR="00581587" w:rsidRPr="00ED5AD0" w:rsidRDefault="00581587" w:rsidP="00581587">
      <w:pPr>
        <w:widowControl w:val="0"/>
        <w:jc w:val="both"/>
        <w:rPr>
          <w:bCs/>
          <w:snapToGrid w:val="0"/>
          <w:color w:val="000000"/>
        </w:rPr>
      </w:pPr>
      <w:r w:rsidRPr="00ED5AD0">
        <w:rPr>
          <w:bCs/>
          <w:snapToGrid w:val="0"/>
          <w:color w:val="000000"/>
        </w:rPr>
        <w:t>Employees whose request for flexible retirement is supported may continue to pay into the Local Government Pension Scheme to build up further benefits in the Scheme up to the age of 75.</w:t>
      </w:r>
    </w:p>
    <w:p w14:paraId="18F2D016" w14:textId="77777777" w:rsidR="00581587" w:rsidRPr="00ED5AD0" w:rsidRDefault="00581587" w:rsidP="00581587">
      <w:pPr>
        <w:widowControl w:val="0"/>
        <w:jc w:val="both"/>
        <w:rPr>
          <w:bCs/>
          <w:snapToGrid w:val="0"/>
          <w:color w:val="000000"/>
        </w:rPr>
      </w:pPr>
    </w:p>
    <w:p w14:paraId="36259E01" w14:textId="0DD48F29" w:rsidR="00581587" w:rsidRPr="00ED5AD0" w:rsidRDefault="00581587" w:rsidP="00581587">
      <w:pPr>
        <w:widowControl w:val="0"/>
        <w:jc w:val="both"/>
        <w:rPr>
          <w:bCs/>
          <w:snapToGrid w:val="0"/>
          <w:color w:val="000000"/>
        </w:rPr>
      </w:pPr>
      <w:r w:rsidRPr="00ED5AD0">
        <w:rPr>
          <w:bCs/>
          <w:snapToGrid w:val="0"/>
          <w:color w:val="000000"/>
        </w:rPr>
        <w:t>Employees age 55 or over with long service will not normally incur a cost for the Council if they retire on a flexible basis as there will be no strain cost (usually the pension to be drawn is reduced at the employee’s cost, not the council’s</w:t>
      </w:r>
      <w:proofErr w:type="gramStart"/>
      <w:r w:rsidRPr="00ED5AD0">
        <w:rPr>
          <w:bCs/>
          <w:snapToGrid w:val="0"/>
          <w:color w:val="000000"/>
        </w:rPr>
        <w:t>) .</w:t>
      </w:r>
      <w:proofErr w:type="gramEnd"/>
      <w:r w:rsidRPr="00ED5AD0">
        <w:rPr>
          <w:bCs/>
          <w:snapToGrid w:val="0"/>
          <w:color w:val="000000"/>
        </w:rPr>
        <w:t xml:space="preserve"> In these </w:t>
      </w:r>
      <w:proofErr w:type="gramStart"/>
      <w:r w:rsidRPr="00ED5AD0">
        <w:rPr>
          <w:bCs/>
          <w:snapToGrid w:val="0"/>
          <w:color w:val="000000"/>
        </w:rPr>
        <w:t>cases</w:t>
      </w:r>
      <w:proofErr w:type="gramEnd"/>
      <w:r w:rsidRPr="00ED5AD0">
        <w:rPr>
          <w:bCs/>
          <w:snapToGrid w:val="0"/>
          <w:color w:val="000000"/>
        </w:rPr>
        <w:t xml:space="preserve"> the granting of a request for flexible retirement will be taken by the relevant </w:t>
      </w:r>
      <w:r w:rsidR="00355A68" w:rsidRPr="00ED5AD0">
        <w:rPr>
          <w:bCs/>
          <w:snapToGrid w:val="0"/>
          <w:color w:val="000000"/>
        </w:rPr>
        <w:t xml:space="preserve">Assistant </w:t>
      </w:r>
      <w:r w:rsidR="005103EB" w:rsidRPr="00ED5AD0">
        <w:rPr>
          <w:bCs/>
          <w:snapToGrid w:val="0"/>
          <w:color w:val="000000"/>
        </w:rPr>
        <w:t>Director</w:t>
      </w:r>
      <w:r w:rsidRPr="00ED5AD0">
        <w:rPr>
          <w:bCs/>
          <w:snapToGrid w:val="0"/>
          <w:color w:val="000000"/>
        </w:rPr>
        <w:t xml:space="preserve"> and will be based on the operational effectiveness of the proposed arrangement. In effect, in these cases the arrangement is merely an agreed contractual change (reduction in hours or grade</w:t>
      </w:r>
      <w:proofErr w:type="gramStart"/>
      <w:r w:rsidRPr="00ED5AD0">
        <w:rPr>
          <w:bCs/>
          <w:snapToGrid w:val="0"/>
          <w:color w:val="000000"/>
        </w:rPr>
        <w:t>)</w:t>
      </w:r>
      <w:proofErr w:type="gramEnd"/>
      <w:r w:rsidRPr="00ED5AD0">
        <w:rPr>
          <w:bCs/>
          <w:snapToGrid w:val="0"/>
          <w:color w:val="000000"/>
        </w:rPr>
        <w:t xml:space="preserve"> and the claiming of the pension is a matter for the employee not the Council as employer. The Council through its published suite of discretions available under the Local Government Pension Scheme Regulations has determined that decisions where a pension strain cost would be payable by the Council would need to be referred to the Appeals and Retirements Committee and would be dependent on a costed business case</w:t>
      </w:r>
    </w:p>
    <w:p w14:paraId="5C2B672D" w14:textId="77777777" w:rsidR="00581587" w:rsidRPr="00ED5AD0" w:rsidRDefault="00581587" w:rsidP="00581587">
      <w:pPr>
        <w:widowControl w:val="0"/>
        <w:jc w:val="both"/>
        <w:rPr>
          <w:bCs/>
          <w:snapToGrid w:val="0"/>
          <w:color w:val="000000"/>
        </w:rPr>
      </w:pPr>
    </w:p>
    <w:p w14:paraId="082208E3" w14:textId="78A18586" w:rsidR="00581587" w:rsidRPr="00ED5AD0" w:rsidRDefault="00581587" w:rsidP="00581587">
      <w:pPr>
        <w:widowControl w:val="0"/>
        <w:jc w:val="both"/>
        <w:rPr>
          <w:bCs/>
          <w:snapToGrid w:val="0"/>
          <w:color w:val="000000"/>
        </w:rPr>
      </w:pPr>
      <w:r w:rsidRPr="00ED5AD0">
        <w:rPr>
          <w:bCs/>
          <w:snapToGrid w:val="0"/>
          <w:color w:val="000000"/>
        </w:rPr>
        <w:t xml:space="preserve">When a request for flexible retirement is received, managers must consult with </w:t>
      </w:r>
      <w:r w:rsidR="00355A68" w:rsidRPr="00ED5AD0">
        <w:rPr>
          <w:bCs/>
          <w:snapToGrid w:val="0"/>
          <w:color w:val="000000"/>
        </w:rPr>
        <w:t>Human Resources</w:t>
      </w:r>
      <w:r w:rsidRPr="00ED5AD0">
        <w:rPr>
          <w:bCs/>
          <w:snapToGrid w:val="0"/>
          <w:color w:val="000000"/>
        </w:rPr>
        <w:t xml:space="preserve"> before any decision is communicated to the employee.  </w:t>
      </w:r>
      <w:r w:rsidR="00355A68" w:rsidRPr="00ED5AD0">
        <w:rPr>
          <w:bCs/>
          <w:snapToGrid w:val="0"/>
          <w:color w:val="000000"/>
        </w:rPr>
        <w:t>Human Resource</w:t>
      </w:r>
      <w:r w:rsidRPr="00ED5AD0">
        <w:rPr>
          <w:bCs/>
          <w:snapToGrid w:val="0"/>
          <w:color w:val="000000"/>
        </w:rPr>
        <w:t>s will advise on process and obtain confirmation from the Pension Administering Authority (Nottinghamshire County Council) of any potential strain costs.</w:t>
      </w:r>
    </w:p>
    <w:p w14:paraId="1CBB9048" w14:textId="77777777" w:rsidR="00581587" w:rsidRPr="00ED5AD0" w:rsidRDefault="00581587" w:rsidP="00581587">
      <w:pPr>
        <w:widowControl w:val="0"/>
        <w:jc w:val="both"/>
        <w:rPr>
          <w:bCs/>
          <w:snapToGrid w:val="0"/>
          <w:color w:val="000000"/>
        </w:rPr>
      </w:pPr>
    </w:p>
    <w:p w14:paraId="629AED40" w14:textId="77777777" w:rsidR="00581587" w:rsidRPr="00ED5AD0" w:rsidRDefault="00581587" w:rsidP="00581587">
      <w:pPr>
        <w:widowControl w:val="0"/>
        <w:jc w:val="both"/>
        <w:rPr>
          <w:bCs/>
          <w:snapToGrid w:val="0"/>
          <w:color w:val="000000"/>
        </w:rPr>
      </w:pPr>
      <w:r w:rsidRPr="00ED5AD0">
        <w:rPr>
          <w:bCs/>
          <w:snapToGrid w:val="0"/>
          <w:color w:val="000000"/>
        </w:rPr>
        <w:t>Where an employee voluntarily reduces their hours with pension, a trial period is not possible and therefore the change will form a permanent variation to their contract of employment.</w:t>
      </w:r>
    </w:p>
    <w:p w14:paraId="6C8C9AF2" w14:textId="77777777" w:rsidR="00581587" w:rsidRPr="00ED5AD0" w:rsidRDefault="00581587" w:rsidP="00581587">
      <w:pPr>
        <w:widowControl w:val="0"/>
        <w:jc w:val="both"/>
        <w:rPr>
          <w:bCs/>
          <w:snapToGrid w:val="0"/>
          <w:color w:val="000000"/>
        </w:rPr>
      </w:pPr>
    </w:p>
    <w:p w14:paraId="692128ED" w14:textId="77777777" w:rsidR="00581587" w:rsidRPr="00ED5AD0" w:rsidRDefault="00581587" w:rsidP="00581587">
      <w:pPr>
        <w:widowControl w:val="0"/>
        <w:jc w:val="both"/>
        <w:rPr>
          <w:bCs/>
          <w:snapToGrid w:val="0"/>
          <w:color w:val="000000"/>
        </w:rPr>
      </w:pPr>
      <w:r w:rsidRPr="00ED5AD0">
        <w:rPr>
          <w:bCs/>
          <w:snapToGrid w:val="0"/>
          <w:color w:val="000000"/>
        </w:rPr>
        <w:t xml:space="preserve">An alternative option to reduction in hours with pension is reduction in grade with pension.  If an employee wishes to draw their pension linked to a reduction in their grade this will be subject to an appropriate review to consider the business case for agreeing to the arrangement in the same way as if the request had been made for a reduction in hours. There is no automatic right to be transferred into a lower-graded post, or for the duties within an existing post to be reduced or diminished, and an employee wishing to take this option will normally be expected to apply for the post in the normal manner and demonstrate competency through an ‘on merit’ process.  </w:t>
      </w:r>
    </w:p>
    <w:p w14:paraId="382C0568" w14:textId="77777777" w:rsidR="00581587" w:rsidRPr="00ED5AD0" w:rsidRDefault="00581587" w:rsidP="00581587">
      <w:pPr>
        <w:widowControl w:val="0"/>
        <w:jc w:val="both"/>
        <w:rPr>
          <w:bCs/>
          <w:snapToGrid w:val="0"/>
          <w:color w:val="000000"/>
        </w:rPr>
      </w:pPr>
      <w:r w:rsidRPr="00ED5AD0">
        <w:rPr>
          <w:bCs/>
          <w:snapToGrid w:val="0"/>
          <w:color w:val="000000"/>
        </w:rPr>
        <w:br w:type="page"/>
      </w:r>
    </w:p>
    <w:p w14:paraId="0BD8438C" w14:textId="77777777" w:rsidR="00581587" w:rsidRPr="00ED5AD0" w:rsidRDefault="00581587" w:rsidP="00581587">
      <w:pPr>
        <w:widowControl w:val="0"/>
        <w:jc w:val="both"/>
        <w:rPr>
          <w:b/>
          <w:snapToGrid w:val="0"/>
          <w:color w:val="000000"/>
        </w:rPr>
      </w:pPr>
      <w:r w:rsidRPr="00ED5AD0">
        <w:rPr>
          <w:b/>
          <w:snapToGrid w:val="0"/>
          <w:color w:val="000000"/>
        </w:rPr>
        <w:lastRenderedPageBreak/>
        <w:t xml:space="preserve">2. </w:t>
      </w:r>
      <w:r w:rsidRPr="00ED5AD0">
        <w:rPr>
          <w:b/>
          <w:snapToGrid w:val="0"/>
          <w:color w:val="000000"/>
        </w:rPr>
        <w:tab/>
        <w:t>Appeal</w:t>
      </w:r>
    </w:p>
    <w:p w14:paraId="02A40065" w14:textId="77777777" w:rsidR="00581587" w:rsidRPr="00ED5AD0" w:rsidRDefault="00581587" w:rsidP="00581587">
      <w:pPr>
        <w:widowControl w:val="0"/>
        <w:jc w:val="both"/>
        <w:rPr>
          <w:bCs/>
          <w:snapToGrid w:val="0"/>
          <w:color w:val="000000"/>
        </w:rPr>
      </w:pPr>
    </w:p>
    <w:p w14:paraId="68AFCE73" w14:textId="77777777" w:rsidR="00581587" w:rsidRPr="00ED5AD0" w:rsidRDefault="00581587" w:rsidP="00581587">
      <w:pPr>
        <w:widowControl w:val="0"/>
        <w:jc w:val="both"/>
        <w:rPr>
          <w:bCs/>
          <w:snapToGrid w:val="0"/>
          <w:color w:val="000000"/>
        </w:rPr>
      </w:pPr>
      <w:r w:rsidRPr="00ED5AD0">
        <w:rPr>
          <w:b/>
          <w:bCs/>
          <w:snapToGrid w:val="0"/>
          <w:color w:val="000000"/>
        </w:rPr>
        <w:t>Cases that need to be referred to the Appeals and Retirements Committee</w:t>
      </w:r>
    </w:p>
    <w:p w14:paraId="3B8FEE9E" w14:textId="77777777" w:rsidR="00581587" w:rsidRPr="00ED5AD0" w:rsidRDefault="00581587" w:rsidP="00581587">
      <w:pPr>
        <w:widowControl w:val="0"/>
        <w:jc w:val="both"/>
        <w:rPr>
          <w:bCs/>
          <w:snapToGrid w:val="0"/>
          <w:color w:val="000000"/>
        </w:rPr>
      </w:pPr>
      <w:r w:rsidRPr="00ED5AD0">
        <w:rPr>
          <w:bCs/>
          <w:snapToGrid w:val="0"/>
          <w:color w:val="000000"/>
        </w:rPr>
        <w:t>2.1 A right of appeal exists against any recommendation made to the Appeals and Retirements Committee.</w:t>
      </w:r>
    </w:p>
    <w:p w14:paraId="1BC1EFE7" w14:textId="77777777" w:rsidR="00581587" w:rsidRPr="00ED5AD0" w:rsidRDefault="00581587" w:rsidP="00581587">
      <w:pPr>
        <w:widowControl w:val="0"/>
        <w:jc w:val="both"/>
        <w:rPr>
          <w:rFonts w:cs="Arial"/>
          <w:bCs/>
          <w:snapToGrid w:val="0"/>
          <w:color w:val="000000"/>
        </w:rPr>
      </w:pPr>
    </w:p>
    <w:p w14:paraId="7A1D35D9" w14:textId="77777777" w:rsidR="00581587" w:rsidRPr="00ED5AD0" w:rsidRDefault="00581587" w:rsidP="00581587">
      <w:pPr>
        <w:widowControl w:val="0"/>
        <w:jc w:val="both"/>
        <w:rPr>
          <w:bCs/>
          <w:snapToGrid w:val="0"/>
          <w:color w:val="000000"/>
        </w:rPr>
      </w:pPr>
      <w:r w:rsidRPr="00ED5AD0">
        <w:rPr>
          <w:bCs/>
          <w:snapToGrid w:val="0"/>
          <w:color w:val="000000"/>
        </w:rPr>
        <w:t xml:space="preserve">2.2 Prior to a report being made to the Appeals and Retirements Committee, the person who is the subject of the report will be notified of the recommendation to be made.  If they do not agree with this recommendation, they will be allowed to submit a written appeal against this.  The written appeal will be considered by the Appeals and Retirements Committee as part of its decision </w:t>
      </w:r>
      <w:proofErr w:type="gramStart"/>
      <w:r w:rsidRPr="00ED5AD0">
        <w:rPr>
          <w:bCs/>
          <w:snapToGrid w:val="0"/>
          <w:color w:val="000000"/>
        </w:rPr>
        <w:t>in regard to</w:t>
      </w:r>
      <w:proofErr w:type="gramEnd"/>
      <w:r w:rsidRPr="00ED5AD0">
        <w:rPr>
          <w:bCs/>
          <w:snapToGrid w:val="0"/>
          <w:color w:val="000000"/>
        </w:rPr>
        <w:t xml:space="preserve"> the report submitted.  Where the committee may wish to ask the appellant for additional information, they may request that the appellant attends the meeting.  Also, if the appellant wishes to make a personal statement of case, they may attend the committee meeting to do this.  In either circumstance, the appellant will not be allowed to be present whilst the decision is discussed.  If the appellant does attend the meeting, a union representative or work colleague may accompany them. The decision of the Appeals and Retirements Committee is final.</w:t>
      </w:r>
    </w:p>
    <w:p w14:paraId="4DA7CA3B" w14:textId="77777777" w:rsidR="00581587" w:rsidRPr="00ED5AD0" w:rsidRDefault="00581587" w:rsidP="00581587">
      <w:pPr>
        <w:widowControl w:val="0"/>
        <w:jc w:val="both"/>
        <w:rPr>
          <w:bCs/>
          <w:snapToGrid w:val="0"/>
          <w:color w:val="000000"/>
        </w:rPr>
      </w:pPr>
    </w:p>
    <w:p w14:paraId="390611C6" w14:textId="364FDAA2" w:rsidR="00581587" w:rsidRPr="00ED5AD0" w:rsidRDefault="00581587" w:rsidP="00581587">
      <w:pPr>
        <w:widowControl w:val="0"/>
        <w:jc w:val="both"/>
        <w:rPr>
          <w:b/>
          <w:bCs/>
          <w:snapToGrid w:val="0"/>
          <w:color w:val="000000"/>
        </w:rPr>
      </w:pPr>
      <w:r w:rsidRPr="00ED5AD0">
        <w:rPr>
          <w:b/>
          <w:bCs/>
          <w:snapToGrid w:val="0"/>
          <w:color w:val="000000"/>
        </w:rPr>
        <w:t>Cases that are determined by a</w:t>
      </w:r>
      <w:r w:rsidR="00355A68" w:rsidRPr="00ED5AD0">
        <w:rPr>
          <w:b/>
          <w:bCs/>
          <w:snapToGrid w:val="0"/>
          <w:color w:val="000000"/>
        </w:rPr>
        <w:t xml:space="preserve">n Assistant </w:t>
      </w:r>
      <w:r w:rsidR="005103EB" w:rsidRPr="00ED5AD0">
        <w:rPr>
          <w:b/>
          <w:bCs/>
          <w:snapToGrid w:val="0"/>
          <w:color w:val="000000"/>
        </w:rPr>
        <w:t>Director</w:t>
      </w:r>
      <w:r w:rsidRPr="00ED5AD0">
        <w:rPr>
          <w:b/>
          <w:bCs/>
          <w:snapToGrid w:val="0"/>
          <w:color w:val="000000"/>
        </w:rPr>
        <w:t xml:space="preserve"> (cases where there is no pension strain or cost to the council) </w:t>
      </w:r>
    </w:p>
    <w:p w14:paraId="38E4B8B0" w14:textId="77777777" w:rsidR="00581587" w:rsidRPr="00ED5AD0" w:rsidRDefault="00581587" w:rsidP="00581587">
      <w:pPr>
        <w:widowControl w:val="0"/>
        <w:jc w:val="both"/>
        <w:rPr>
          <w:b/>
          <w:bCs/>
          <w:snapToGrid w:val="0"/>
          <w:color w:val="000000"/>
        </w:rPr>
      </w:pPr>
    </w:p>
    <w:p w14:paraId="398E1706" w14:textId="39F3D75E" w:rsidR="00581587" w:rsidRPr="00ED5AD0" w:rsidRDefault="00581587" w:rsidP="00581587">
      <w:pPr>
        <w:widowControl w:val="0"/>
        <w:jc w:val="both"/>
        <w:rPr>
          <w:bCs/>
          <w:snapToGrid w:val="0"/>
          <w:color w:val="000000"/>
        </w:rPr>
      </w:pPr>
      <w:r w:rsidRPr="00ED5AD0">
        <w:rPr>
          <w:bCs/>
          <w:snapToGrid w:val="0"/>
          <w:color w:val="000000"/>
        </w:rPr>
        <w:t>2.3 If an employee’s request for flexible retirement is refused by a</w:t>
      </w:r>
      <w:r w:rsidR="00355A68" w:rsidRPr="00ED5AD0">
        <w:rPr>
          <w:bCs/>
          <w:snapToGrid w:val="0"/>
          <w:color w:val="000000"/>
        </w:rPr>
        <w:t xml:space="preserve">n Assistant </w:t>
      </w:r>
      <w:r w:rsidR="005103EB" w:rsidRPr="00ED5AD0">
        <w:rPr>
          <w:bCs/>
          <w:snapToGrid w:val="0"/>
          <w:color w:val="000000"/>
        </w:rPr>
        <w:t>Director</w:t>
      </w:r>
      <w:r w:rsidRPr="00ED5AD0">
        <w:rPr>
          <w:bCs/>
          <w:snapToGrid w:val="0"/>
          <w:color w:val="000000"/>
        </w:rPr>
        <w:t xml:space="preserve"> the employee may choose to appeal this decision through the Grievance Procedure of the Council. </w:t>
      </w:r>
    </w:p>
    <w:p w14:paraId="1B1607EA" w14:textId="77777777" w:rsidR="00581587" w:rsidRPr="00ED5AD0" w:rsidRDefault="00581587" w:rsidP="00581587">
      <w:pPr>
        <w:widowControl w:val="0"/>
        <w:jc w:val="both"/>
        <w:rPr>
          <w:bCs/>
          <w:snapToGrid w:val="0"/>
          <w:color w:val="FF0000"/>
        </w:rPr>
      </w:pPr>
    </w:p>
    <w:p w14:paraId="373A6178" w14:textId="77777777" w:rsidR="00581587" w:rsidRPr="00ED5AD0" w:rsidRDefault="00581587" w:rsidP="00581587">
      <w:pPr>
        <w:widowControl w:val="0"/>
        <w:jc w:val="both"/>
        <w:rPr>
          <w:rFonts w:cs="Arial"/>
          <w:bCs/>
          <w:snapToGrid w:val="0"/>
          <w:color w:val="FF0000"/>
        </w:rPr>
      </w:pPr>
      <w:r w:rsidRPr="00ED5AD0">
        <w:rPr>
          <w:rFonts w:cs="Arial"/>
          <w:bCs/>
          <w:snapToGrid w:val="0"/>
          <w:color w:val="FF0000"/>
        </w:rPr>
        <w:t xml:space="preserve"> </w:t>
      </w:r>
    </w:p>
    <w:p w14:paraId="55B9FAAE" w14:textId="77777777" w:rsidR="00581587" w:rsidRPr="00ED5AD0" w:rsidRDefault="00581587" w:rsidP="00581587">
      <w:pPr>
        <w:widowControl w:val="0"/>
        <w:jc w:val="both"/>
        <w:rPr>
          <w:rFonts w:cs="Arial"/>
          <w:bCs/>
          <w:snapToGrid w:val="0"/>
          <w:color w:val="FF0000"/>
        </w:rPr>
      </w:pPr>
    </w:p>
    <w:p w14:paraId="5AD2C6FE" w14:textId="0FF05D41" w:rsidR="00403A91" w:rsidRPr="00ED5AD0" w:rsidRDefault="00581587" w:rsidP="00403A91">
      <w:pPr>
        <w:pStyle w:val="BodyText"/>
        <w:spacing w:after="0" w:line="240" w:lineRule="auto"/>
        <w:ind w:left="426" w:right="283"/>
        <w:contextualSpacing/>
        <w:jc w:val="right"/>
        <w:rPr>
          <w:rFonts w:cs="Arial"/>
          <w:b/>
          <w:bCs/>
          <w:sz w:val="24"/>
          <w:szCs w:val="24"/>
        </w:rPr>
      </w:pPr>
      <w:r w:rsidRPr="00ED5AD0">
        <w:rPr>
          <w:rFonts w:cs="Arial"/>
          <w:bCs/>
          <w:snapToGrid w:val="0"/>
          <w:color w:val="FF0000"/>
        </w:rPr>
        <w:br w:type="page"/>
      </w:r>
      <w:r w:rsidR="00403A91" w:rsidRPr="00ED5AD0">
        <w:rPr>
          <w:rFonts w:cs="Arial"/>
          <w:b/>
          <w:snapToGrid w:val="0"/>
          <w:color w:val="000000"/>
        </w:rPr>
        <w:lastRenderedPageBreak/>
        <w:t xml:space="preserve"> </w:t>
      </w:r>
    </w:p>
    <w:p w14:paraId="6328D9AF" w14:textId="1016FD1E" w:rsidR="00581587" w:rsidRPr="00ED5AD0" w:rsidRDefault="00652CF1" w:rsidP="00581587">
      <w:pPr>
        <w:widowControl w:val="0"/>
        <w:jc w:val="right"/>
        <w:rPr>
          <w:rFonts w:cs="Arial"/>
          <w:b/>
          <w:snapToGrid w:val="0"/>
          <w:color w:val="000000"/>
        </w:rPr>
      </w:pPr>
      <w:r w:rsidRPr="00ED5AD0">
        <w:rPr>
          <w:rFonts w:cs="Arial"/>
          <w:b/>
          <w:snapToGrid w:val="0"/>
          <w:color w:val="000000"/>
        </w:rPr>
        <w:t xml:space="preserve">Appendix </w:t>
      </w:r>
      <w:r w:rsidR="00EB0C8E" w:rsidRPr="00ED5AD0">
        <w:rPr>
          <w:rFonts w:cs="Arial"/>
          <w:b/>
          <w:snapToGrid w:val="0"/>
          <w:color w:val="000000"/>
        </w:rPr>
        <w:t>M</w:t>
      </w:r>
    </w:p>
    <w:p w14:paraId="3133FF7E" w14:textId="77777777" w:rsidR="00581587" w:rsidRPr="00ED5AD0" w:rsidRDefault="00581587" w:rsidP="00581587">
      <w:pPr>
        <w:widowControl w:val="0"/>
        <w:jc w:val="both"/>
        <w:rPr>
          <w:rFonts w:cs="Arial"/>
          <w:bCs/>
          <w:snapToGrid w:val="0"/>
          <w:color w:val="000000"/>
        </w:rPr>
      </w:pPr>
    </w:p>
    <w:p w14:paraId="32DD5459" w14:textId="77777777" w:rsidR="00581587" w:rsidRPr="00ED5AD0" w:rsidRDefault="00581587" w:rsidP="00581587">
      <w:pPr>
        <w:widowControl w:val="0"/>
        <w:jc w:val="center"/>
        <w:rPr>
          <w:b/>
          <w:snapToGrid w:val="0"/>
          <w:color w:val="000000"/>
        </w:rPr>
      </w:pPr>
      <w:r w:rsidRPr="00ED5AD0">
        <w:rPr>
          <w:b/>
          <w:snapToGrid w:val="0"/>
          <w:color w:val="000000"/>
        </w:rPr>
        <w:t>REDUNDANCY AND EARLY RETIREMENT POLICY</w:t>
      </w:r>
    </w:p>
    <w:p w14:paraId="6FF9B06C" w14:textId="77777777" w:rsidR="00581587" w:rsidRPr="00ED5AD0" w:rsidRDefault="00581587" w:rsidP="00581587">
      <w:pPr>
        <w:widowControl w:val="0"/>
        <w:jc w:val="both"/>
        <w:rPr>
          <w:rFonts w:cs="Arial"/>
          <w:bCs/>
          <w:snapToGrid w:val="0"/>
          <w:color w:val="000000"/>
        </w:rPr>
      </w:pPr>
    </w:p>
    <w:p w14:paraId="58F2141F" w14:textId="77777777" w:rsidR="00581587" w:rsidRPr="00ED5AD0" w:rsidRDefault="00581587" w:rsidP="00581587">
      <w:pPr>
        <w:widowControl w:val="0"/>
        <w:jc w:val="both"/>
        <w:rPr>
          <w:rFonts w:cs="Arial"/>
          <w:b/>
          <w:snapToGrid w:val="0"/>
          <w:color w:val="000000"/>
        </w:rPr>
      </w:pPr>
      <w:r w:rsidRPr="00ED5AD0">
        <w:rPr>
          <w:rFonts w:cs="Arial"/>
          <w:b/>
          <w:snapToGrid w:val="0"/>
          <w:color w:val="000000"/>
        </w:rPr>
        <w:t>1. Dismissal or Early Retirement on Grounds of Redundancy</w:t>
      </w:r>
    </w:p>
    <w:p w14:paraId="59FAD0E3"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1.1 Employees with two or more years’ continuous local government service, including service covered by the Redundancy Payments Modification Order (RPMO) who are dismissed by reason of redundancy will receive the statutory redundancy compensation payment as defined within the Employment Rights Act 1996).</w:t>
      </w:r>
    </w:p>
    <w:p w14:paraId="062C7653" w14:textId="77777777" w:rsidR="00581587" w:rsidRPr="00ED5AD0" w:rsidRDefault="00581587" w:rsidP="00581587">
      <w:pPr>
        <w:widowControl w:val="0"/>
        <w:jc w:val="both"/>
        <w:rPr>
          <w:rFonts w:cs="Arial"/>
          <w:bCs/>
          <w:snapToGrid w:val="0"/>
          <w:color w:val="000000"/>
        </w:rPr>
      </w:pPr>
    </w:p>
    <w:p w14:paraId="72C40A2B" w14:textId="7C1D9061" w:rsidR="00581587" w:rsidRPr="00ED5AD0" w:rsidRDefault="00581587" w:rsidP="00581587">
      <w:pPr>
        <w:widowControl w:val="0"/>
        <w:jc w:val="both"/>
        <w:rPr>
          <w:rFonts w:cs="Arial"/>
          <w:bCs/>
          <w:snapToGrid w:val="0"/>
          <w:color w:val="000000"/>
        </w:rPr>
      </w:pPr>
      <w:r w:rsidRPr="00ED5AD0">
        <w:rPr>
          <w:rFonts w:eastAsia="Calibri" w:cs="Arial"/>
          <w:color w:val="000000"/>
          <w:spacing w:val="-5"/>
          <w:szCs w:val="24"/>
        </w:rPr>
        <w:t xml:space="preserve">Discretions applied under the Local Government (Early Termination Of Employment) (Discretionary Compensation) (England And Wales) Regulations 2006 by the Council in its published suite of discretions confirms that the redundancy pay calculation will </w:t>
      </w:r>
      <w:proofErr w:type="gramStart"/>
      <w:r w:rsidRPr="00ED5AD0">
        <w:rPr>
          <w:rFonts w:eastAsia="Calibri" w:cs="Arial"/>
          <w:color w:val="000000"/>
          <w:spacing w:val="-5"/>
          <w:szCs w:val="24"/>
        </w:rPr>
        <w:t xml:space="preserve">be </w:t>
      </w:r>
      <w:r w:rsidRPr="00ED5AD0">
        <w:rPr>
          <w:rFonts w:cs="Arial"/>
          <w:bCs/>
          <w:snapToGrid w:val="0"/>
          <w:color w:val="000000"/>
        </w:rPr>
        <w:t xml:space="preserve"> based</w:t>
      </w:r>
      <w:proofErr w:type="gramEnd"/>
      <w:r w:rsidRPr="00ED5AD0">
        <w:rPr>
          <w:rFonts w:cs="Arial"/>
          <w:bCs/>
          <w:snapToGrid w:val="0"/>
          <w:color w:val="000000"/>
        </w:rPr>
        <w:t xml:space="preserve"> on an actual week’s pay. In addition</w:t>
      </w:r>
      <w:r w:rsidR="00355A68" w:rsidRPr="00ED5AD0">
        <w:rPr>
          <w:rFonts w:cs="Arial"/>
          <w:bCs/>
          <w:snapToGrid w:val="0"/>
          <w:color w:val="000000"/>
        </w:rPr>
        <w:t>,</w:t>
      </w:r>
      <w:r w:rsidRPr="00ED5AD0">
        <w:rPr>
          <w:rFonts w:cs="Arial"/>
          <w:bCs/>
          <w:snapToGrid w:val="0"/>
          <w:color w:val="000000"/>
        </w:rPr>
        <w:t xml:space="preserve"> under these local discretions the council has determined that a</w:t>
      </w:r>
      <w:r w:rsidRPr="00ED5AD0">
        <w:rPr>
          <w:rFonts w:eastAsia="Calibri" w:cs="Arial"/>
          <w:color w:val="000000"/>
          <w:spacing w:val="-5"/>
          <w:szCs w:val="24"/>
        </w:rPr>
        <w:t xml:space="preserve"> fixed payment will be made for all dismissals due to the reason of redundancy. For redundancy dismissals this will be a compensatory payment equivalent to 30% of the value of the statutory redundancy payment (calculated using actual week’s pay); this to be paid in addition to any required statutory redundancy payment.</w:t>
      </w:r>
    </w:p>
    <w:p w14:paraId="65C7006A" w14:textId="77777777" w:rsidR="00581587" w:rsidRPr="00ED5AD0" w:rsidRDefault="00581587" w:rsidP="00581587">
      <w:pPr>
        <w:widowControl w:val="0"/>
        <w:jc w:val="both"/>
        <w:rPr>
          <w:rFonts w:cs="Arial"/>
          <w:bCs/>
          <w:snapToGrid w:val="0"/>
          <w:color w:val="000000"/>
        </w:rPr>
      </w:pPr>
    </w:p>
    <w:p w14:paraId="1E67D8D2"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 xml:space="preserve">1.2 The service that will be </w:t>
      </w:r>
      <w:proofErr w:type="gramStart"/>
      <w:r w:rsidRPr="00ED5AD0">
        <w:rPr>
          <w:rFonts w:cs="Arial"/>
          <w:bCs/>
          <w:snapToGrid w:val="0"/>
          <w:color w:val="000000"/>
        </w:rPr>
        <w:t>taken into account</w:t>
      </w:r>
      <w:proofErr w:type="gramEnd"/>
      <w:r w:rsidRPr="00ED5AD0">
        <w:rPr>
          <w:rFonts w:cs="Arial"/>
          <w:bCs/>
          <w:snapToGrid w:val="0"/>
          <w:color w:val="000000"/>
        </w:rPr>
        <w:t xml:space="preserve"> when calculating entitlement to a redundancy payment under this policy will be continuous service with an organisation covered by the RPMO.</w:t>
      </w:r>
    </w:p>
    <w:p w14:paraId="10F5C2DD" w14:textId="77777777" w:rsidR="00581587" w:rsidRPr="00ED5AD0" w:rsidRDefault="00581587" w:rsidP="00581587">
      <w:pPr>
        <w:widowControl w:val="0"/>
        <w:jc w:val="both"/>
        <w:rPr>
          <w:rFonts w:cs="Arial"/>
          <w:bCs/>
          <w:snapToGrid w:val="0"/>
          <w:color w:val="000000"/>
        </w:rPr>
      </w:pPr>
    </w:p>
    <w:p w14:paraId="3F415235" w14:textId="77777777" w:rsidR="00581587" w:rsidRPr="00ED5AD0" w:rsidRDefault="00581587" w:rsidP="00581587">
      <w:pPr>
        <w:widowControl w:val="0"/>
        <w:jc w:val="both"/>
        <w:rPr>
          <w:rFonts w:cs="Arial"/>
          <w:b/>
          <w:snapToGrid w:val="0"/>
          <w:color w:val="000000"/>
        </w:rPr>
      </w:pPr>
      <w:r w:rsidRPr="00ED5AD0">
        <w:rPr>
          <w:rFonts w:cs="Arial"/>
          <w:b/>
          <w:snapToGrid w:val="0"/>
          <w:color w:val="000000"/>
        </w:rPr>
        <w:t>2. Early Retirement on Grounds of Efficiency of the Service</w:t>
      </w:r>
    </w:p>
    <w:p w14:paraId="47FB7E64"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 xml:space="preserve">2.1 An employee aged 55 or over with sufficient qualifying service who is granted early retirement through a dismissal due to efficiency of the service will have their occupational (Local Government Pension Scheme) payment released as allowed with the LGPS Regulations. </w:t>
      </w:r>
    </w:p>
    <w:p w14:paraId="162C9294" w14:textId="77777777" w:rsidR="00581587" w:rsidRPr="00ED5AD0" w:rsidRDefault="00581587" w:rsidP="00581587">
      <w:pPr>
        <w:widowControl w:val="0"/>
        <w:jc w:val="both"/>
        <w:rPr>
          <w:rFonts w:cs="Arial"/>
          <w:bCs/>
          <w:snapToGrid w:val="0"/>
          <w:color w:val="000000"/>
        </w:rPr>
      </w:pPr>
    </w:p>
    <w:p w14:paraId="46FFFFD9"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 xml:space="preserve">2.2 </w:t>
      </w:r>
      <w:r w:rsidRPr="00ED5AD0">
        <w:rPr>
          <w:rFonts w:eastAsia="Calibri" w:cs="Arial"/>
          <w:color w:val="000000"/>
          <w:spacing w:val="-5"/>
          <w:szCs w:val="24"/>
        </w:rPr>
        <w:t xml:space="preserve">Discretions applied under the Local Government (Early Termination </w:t>
      </w:r>
      <w:proofErr w:type="gramStart"/>
      <w:r w:rsidRPr="00ED5AD0">
        <w:rPr>
          <w:rFonts w:eastAsia="Calibri" w:cs="Arial"/>
          <w:color w:val="000000"/>
          <w:spacing w:val="-5"/>
          <w:szCs w:val="24"/>
        </w:rPr>
        <w:t>Of</w:t>
      </w:r>
      <w:proofErr w:type="gramEnd"/>
      <w:r w:rsidRPr="00ED5AD0">
        <w:rPr>
          <w:rFonts w:eastAsia="Calibri" w:cs="Arial"/>
          <w:color w:val="000000"/>
          <w:spacing w:val="-5"/>
          <w:szCs w:val="24"/>
        </w:rPr>
        <w:t xml:space="preserve"> Employment) (Discretionary Compensation) (England And Wales) Regulations 2006 by the Council in its published suite of discretions confirms that a fixed discretionary payment will be made for all dismissals due to the reason of efficiency of the service. For dismissals due to efficiency of the service a compensatory payment will be made equivalent to 30% of the value of a notional redundancy payment calculated using actual week’s pay as if the reason for dismissal was redundancy; there is no provision for any statutory payment and no other compensatory payment will be made</w:t>
      </w:r>
      <w:r w:rsidRPr="00ED5AD0">
        <w:rPr>
          <w:rFonts w:cs="Arial"/>
          <w:bCs/>
          <w:snapToGrid w:val="0"/>
          <w:color w:val="000000"/>
        </w:rPr>
        <w:t>.</w:t>
      </w:r>
    </w:p>
    <w:p w14:paraId="6606F7A1" w14:textId="77777777" w:rsidR="00581587" w:rsidRPr="00ED5AD0" w:rsidRDefault="00581587" w:rsidP="00581587">
      <w:pPr>
        <w:widowControl w:val="0"/>
        <w:jc w:val="both"/>
        <w:rPr>
          <w:rFonts w:cs="Arial"/>
          <w:bCs/>
          <w:snapToGrid w:val="0"/>
          <w:color w:val="000000"/>
        </w:rPr>
      </w:pPr>
    </w:p>
    <w:p w14:paraId="3456C67D" w14:textId="77777777" w:rsidR="00581587" w:rsidRPr="00ED5AD0" w:rsidRDefault="00581587" w:rsidP="00581587">
      <w:pPr>
        <w:widowControl w:val="0"/>
        <w:jc w:val="both"/>
        <w:rPr>
          <w:rFonts w:cs="Arial"/>
          <w:b/>
          <w:snapToGrid w:val="0"/>
          <w:color w:val="000000"/>
        </w:rPr>
      </w:pPr>
      <w:r w:rsidRPr="00ED5AD0">
        <w:rPr>
          <w:rFonts w:cs="Arial"/>
          <w:b/>
          <w:snapToGrid w:val="0"/>
          <w:color w:val="000000"/>
        </w:rPr>
        <w:t>3.</w:t>
      </w:r>
      <w:r w:rsidRPr="00ED5AD0">
        <w:rPr>
          <w:rFonts w:cs="Arial"/>
          <w:b/>
          <w:snapToGrid w:val="0"/>
          <w:color w:val="000000"/>
        </w:rPr>
        <w:tab/>
        <w:t xml:space="preserve">Appeal </w:t>
      </w:r>
    </w:p>
    <w:p w14:paraId="00096B93" w14:textId="77777777" w:rsidR="00581587" w:rsidRPr="00ED5AD0" w:rsidRDefault="00581587" w:rsidP="00581587">
      <w:pPr>
        <w:widowControl w:val="0"/>
        <w:jc w:val="both"/>
        <w:rPr>
          <w:rFonts w:cs="Arial"/>
          <w:bCs/>
          <w:snapToGrid w:val="0"/>
          <w:color w:val="000000"/>
        </w:rPr>
      </w:pPr>
      <w:r w:rsidRPr="00ED5AD0">
        <w:rPr>
          <w:rFonts w:cs="Arial"/>
          <w:bCs/>
          <w:snapToGrid w:val="0"/>
          <w:color w:val="000000"/>
        </w:rPr>
        <w:t>There is a right of appeal against any dismissal from the Council including dismissals relating to “early retirement”. Any such appeal would be heard by the Appeals and Retirements Committee.</w:t>
      </w:r>
    </w:p>
    <w:p w14:paraId="0470A8CB" w14:textId="77777777" w:rsidR="00581587" w:rsidRPr="00ED5AD0" w:rsidRDefault="00581587" w:rsidP="00581587">
      <w:pPr>
        <w:widowControl w:val="0"/>
        <w:jc w:val="both"/>
        <w:rPr>
          <w:rFonts w:cs="Arial"/>
          <w:bCs/>
          <w:snapToGrid w:val="0"/>
          <w:color w:val="000000"/>
        </w:rPr>
      </w:pPr>
    </w:p>
    <w:p w14:paraId="710824AC" w14:textId="77777777" w:rsidR="00581587" w:rsidRPr="00ED5AD0" w:rsidRDefault="00581587" w:rsidP="00581587">
      <w:pPr>
        <w:widowControl w:val="0"/>
        <w:jc w:val="both"/>
        <w:rPr>
          <w:rFonts w:cs="Arial"/>
          <w:b/>
          <w:snapToGrid w:val="0"/>
          <w:color w:val="000000"/>
        </w:rPr>
      </w:pPr>
      <w:r w:rsidRPr="00ED5AD0">
        <w:rPr>
          <w:rFonts w:cs="Arial"/>
          <w:b/>
          <w:snapToGrid w:val="0"/>
          <w:color w:val="000000"/>
        </w:rPr>
        <w:t>4. Relationship with other compromise payments</w:t>
      </w:r>
    </w:p>
    <w:p w14:paraId="6073D96E" w14:textId="77777777" w:rsidR="00581587" w:rsidRPr="00ED5AD0" w:rsidRDefault="00581587" w:rsidP="00581587">
      <w:pPr>
        <w:widowControl w:val="0"/>
        <w:jc w:val="both"/>
        <w:rPr>
          <w:bCs/>
          <w:snapToGrid w:val="0"/>
          <w:color w:val="000000"/>
        </w:rPr>
      </w:pPr>
      <w:r w:rsidRPr="00ED5AD0">
        <w:rPr>
          <w:bCs/>
          <w:snapToGrid w:val="0"/>
          <w:color w:val="000000"/>
        </w:rPr>
        <w:t xml:space="preserve">This policy determines the compensatory payments to be made for redundancy and efficiency of the service.  </w:t>
      </w:r>
    </w:p>
    <w:p w14:paraId="57693DD5" w14:textId="77777777" w:rsidR="00581587" w:rsidRPr="00ED5AD0" w:rsidRDefault="00581587" w:rsidP="00581587">
      <w:pPr>
        <w:widowControl w:val="0"/>
        <w:jc w:val="both"/>
        <w:rPr>
          <w:bCs/>
          <w:snapToGrid w:val="0"/>
          <w:color w:val="000000"/>
        </w:rPr>
      </w:pPr>
    </w:p>
    <w:p w14:paraId="7B75EB4B" w14:textId="77777777" w:rsidR="00581587" w:rsidRPr="00ED5AD0" w:rsidRDefault="00581587" w:rsidP="00403A91">
      <w:pPr>
        <w:widowControl w:val="0"/>
        <w:jc w:val="both"/>
        <w:rPr>
          <w:bCs/>
          <w:snapToGrid w:val="0"/>
          <w:color w:val="000000"/>
        </w:rPr>
      </w:pPr>
      <w:r w:rsidRPr="00ED5AD0">
        <w:rPr>
          <w:bCs/>
          <w:snapToGrid w:val="0"/>
          <w:color w:val="000000"/>
        </w:rPr>
        <w:t xml:space="preserve">Compensatory payments made under this policy stand separately to any compensatory payments made through Settlement Agreements. Payments made under a Settlement Agreement will be authorised by the relevant officer dependent upon the nature of and reason for the settlement payment. </w:t>
      </w:r>
    </w:p>
    <w:p w14:paraId="75D0910E" w14:textId="64F4890A" w:rsidR="00652CF1" w:rsidRPr="00ED5AD0" w:rsidRDefault="00652CF1" w:rsidP="00652CF1">
      <w:pPr>
        <w:widowControl w:val="0"/>
        <w:jc w:val="right"/>
        <w:rPr>
          <w:b/>
          <w:snapToGrid w:val="0"/>
          <w:color w:val="000000"/>
        </w:rPr>
      </w:pPr>
      <w:r w:rsidRPr="00ED5AD0">
        <w:rPr>
          <w:b/>
          <w:snapToGrid w:val="0"/>
          <w:color w:val="000000"/>
        </w:rPr>
        <w:lastRenderedPageBreak/>
        <w:t xml:space="preserve">Appendix </w:t>
      </w:r>
      <w:r w:rsidR="00355A68" w:rsidRPr="00ED5AD0">
        <w:rPr>
          <w:b/>
          <w:snapToGrid w:val="0"/>
          <w:color w:val="000000"/>
        </w:rPr>
        <w:t>N</w:t>
      </w:r>
    </w:p>
    <w:p w14:paraId="5D59CD2E" w14:textId="77777777" w:rsidR="00652CF1" w:rsidRPr="00ED5AD0" w:rsidRDefault="00652CF1" w:rsidP="00652CF1">
      <w:pPr>
        <w:widowControl w:val="0"/>
        <w:jc w:val="right"/>
        <w:rPr>
          <w:bCs/>
          <w:snapToGrid w:val="0"/>
          <w:color w:val="000000"/>
        </w:rPr>
      </w:pPr>
    </w:p>
    <w:p w14:paraId="59214ABB" w14:textId="74D911FE" w:rsidR="00652CF1" w:rsidRPr="00ED5AD0" w:rsidRDefault="00110BFD" w:rsidP="00652CF1">
      <w:pPr>
        <w:widowControl w:val="0"/>
        <w:jc w:val="center"/>
        <w:rPr>
          <w:b/>
          <w:bCs/>
          <w:snapToGrid w:val="0"/>
          <w:color w:val="000000"/>
        </w:rPr>
      </w:pPr>
      <w:r w:rsidRPr="00ED5AD0">
        <w:rPr>
          <w:b/>
          <w:bCs/>
          <w:snapToGrid w:val="0"/>
          <w:color w:val="000000"/>
        </w:rPr>
        <w:t xml:space="preserve">Special </w:t>
      </w:r>
      <w:r w:rsidR="00652CF1" w:rsidRPr="00ED5AD0">
        <w:rPr>
          <w:b/>
          <w:bCs/>
          <w:snapToGrid w:val="0"/>
          <w:color w:val="000000"/>
        </w:rPr>
        <w:t>Severance Payments Policy</w:t>
      </w:r>
    </w:p>
    <w:p w14:paraId="6D3CCCC9" w14:textId="77777777" w:rsidR="00D32888" w:rsidRPr="00ED5AD0" w:rsidRDefault="00D32888" w:rsidP="00652CF1">
      <w:pPr>
        <w:widowControl w:val="0"/>
        <w:jc w:val="center"/>
        <w:rPr>
          <w:b/>
          <w:bCs/>
          <w:snapToGrid w:val="0"/>
          <w:color w:val="000000"/>
        </w:rPr>
      </w:pPr>
    </w:p>
    <w:p w14:paraId="50892797" w14:textId="77777777" w:rsidR="00D32888" w:rsidRPr="00ED5AD0" w:rsidRDefault="00D32888" w:rsidP="00D32888">
      <w:pPr>
        <w:shd w:val="clear" w:color="auto" w:fill="FFFFFF"/>
        <w:outlineLvl w:val="1"/>
        <w:rPr>
          <w:rFonts w:cs="Arial"/>
          <w:b/>
          <w:bCs/>
          <w:color w:val="0B0C0C"/>
          <w:szCs w:val="24"/>
          <w:lang w:eastAsia="en-GB"/>
        </w:rPr>
      </w:pPr>
      <w:r w:rsidRPr="00ED5AD0">
        <w:rPr>
          <w:rFonts w:cs="Arial"/>
          <w:b/>
          <w:bCs/>
          <w:color w:val="0B0C0C"/>
          <w:szCs w:val="24"/>
          <w:lang w:eastAsia="en-GB"/>
        </w:rPr>
        <w:t>1. Introduction</w:t>
      </w:r>
    </w:p>
    <w:p w14:paraId="38C0AD57"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1.1 Most public sector workers enjoy statutory and contractual redundancy or severance terms that are significantly better than the minimum statutory redundancy entitlement and are often higher than the value of redundancy or severance payments made in the private sector. The government is of the view that paying additional, discretionary sums on top of these entitlements (“special severance payments”) do not usually provide good value for money or offer fairness to the taxpayers who fund them and so, should only be considered in exceptional cases.</w:t>
      </w:r>
    </w:p>
    <w:p w14:paraId="52C6A225"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1.2 This guidance forms part of the best value regime for local authorities in England. The best value duty, as set out in </w:t>
      </w:r>
      <w:hyperlink r:id="rId20" w:history="1">
        <w:r w:rsidRPr="00ED5AD0">
          <w:rPr>
            <w:rFonts w:cs="Arial"/>
            <w:color w:val="1D70B8"/>
            <w:szCs w:val="24"/>
            <w:u w:val="single"/>
            <w:lang w:eastAsia="en-GB"/>
          </w:rPr>
          <w:t>section 3 of the Local Government Act 1999</w:t>
        </w:r>
      </w:hyperlink>
      <w:r w:rsidRPr="00ED5AD0">
        <w:rPr>
          <w:rFonts w:cs="Arial"/>
          <w:color w:val="0B0C0C"/>
          <w:szCs w:val="24"/>
          <w:lang w:eastAsia="en-GB"/>
        </w:rPr>
        <w:t> (“the 1999 Act”), provides that “A best value authority must make arrangements to secure continuous improvement in the way in which its functions are exercised, having regard to a combination of economy, efficiency and effectiveness”. The best value duty is relevant to local authority duties to deliver a balanced budget (Part 1 of the Local Government Finance Act 1992), provide statutory services (including adult social care and children’s services) and secure value for money in spending decisions. This will include decisions to make Special Severance Payments.</w:t>
      </w:r>
    </w:p>
    <w:p w14:paraId="2947407B"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1.3 Authorities subject to the best value duty (termed “best value authorities”) are defined in section 1 of the 1999 Act. </w:t>
      </w:r>
      <w:hyperlink r:id="rId21" w:anchor="list-of-bodies-this-guidance-applies-to" w:history="1">
        <w:r w:rsidRPr="00ED5AD0">
          <w:rPr>
            <w:rFonts w:cs="Arial"/>
            <w:color w:val="1D70B8"/>
            <w:szCs w:val="24"/>
            <w:u w:val="single"/>
            <w:lang w:eastAsia="en-GB"/>
          </w:rPr>
          <w:t>A list of these bodies can be found at the end of this guidance.</w:t>
        </w:r>
      </w:hyperlink>
    </w:p>
    <w:p w14:paraId="2D817CC3"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1.4 This guidance also sets out the government’s position on the use of Special Severance Payments made by local authorities and is adopted as Gedling Borough Council’s local guidance for Special Severance Payments.</w:t>
      </w:r>
    </w:p>
    <w:p w14:paraId="5B9C02A8"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1.5 This guidance is issued under section 26 of the 1999 Act, the purpose of which is to:</w:t>
      </w:r>
    </w:p>
    <w:p w14:paraId="0B1EBB41" w14:textId="77777777" w:rsidR="00D32888" w:rsidRPr="00ED5AD0" w:rsidRDefault="00D32888" w:rsidP="00D32888">
      <w:pPr>
        <w:numPr>
          <w:ilvl w:val="0"/>
          <w:numId w:val="45"/>
        </w:numPr>
        <w:shd w:val="clear" w:color="auto" w:fill="FFFFFF"/>
        <w:spacing w:after="75"/>
        <w:ind w:left="300"/>
        <w:rPr>
          <w:rFonts w:cs="Arial"/>
          <w:color w:val="0B0C0C"/>
          <w:szCs w:val="24"/>
          <w:lang w:eastAsia="en-GB"/>
        </w:rPr>
      </w:pPr>
      <w:r w:rsidRPr="00ED5AD0">
        <w:rPr>
          <w:rFonts w:cs="Arial"/>
          <w:color w:val="0B0C0C"/>
          <w:szCs w:val="24"/>
          <w:lang w:eastAsia="en-GB"/>
        </w:rPr>
        <w:t>set out the government’s view that Special Severance Payments do not usually represent value for money and should only be considered in exceptional circumstances</w:t>
      </w:r>
    </w:p>
    <w:p w14:paraId="35026662" w14:textId="77777777" w:rsidR="00D32888" w:rsidRPr="00ED5AD0" w:rsidRDefault="00D32888" w:rsidP="00D32888">
      <w:pPr>
        <w:numPr>
          <w:ilvl w:val="0"/>
          <w:numId w:val="45"/>
        </w:numPr>
        <w:shd w:val="clear" w:color="auto" w:fill="FFFFFF"/>
        <w:spacing w:after="75"/>
        <w:ind w:left="300"/>
        <w:rPr>
          <w:rFonts w:cs="Arial"/>
          <w:color w:val="0B0C0C"/>
          <w:szCs w:val="24"/>
          <w:lang w:eastAsia="en-GB"/>
        </w:rPr>
      </w:pPr>
      <w:r w:rsidRPr="00ED5AD0">
        <w:rPr>
          <w:rFonts w:cs="Arial"/>
          <w:color w:val="0B0C0C"/>
          <w:szCs w:val="24"/>
          <w:lang w:eastAsia="en-GB"/>
        </w:rPr>
        <w:t>set out the criteria employers should consider in the exceptional circumstances in which it may be appropriate to make a Special Severance Payment</w:t>
      </w:r>
    </w:p>
    <w:p w14:paraId="381E992A" w14:textId="77777777" w:rsidR="00D32888" w:rsidRPr="00ED5AD0" w:rsidRDefault="00D32888" w:rsidP="00D32888">
      <w:pPr>
        <w:numPr>
          <w:ilvl w:val="0"/>
          <w:numId w:val="45"/>
        </w:numPr>
        <w:shd w:val="clear" w:color="auto" w:fill="FFFFFF"/>
        <w:spacing w:after="75"/>
        <w:ind w:left="300"/>
        <w:rPr>
          <w:rFonts w:cs="Arial"/>
          <w:color w:val="0B0C0C"/>
          <w:szCs w:val="24"/>
          <w:lang w:eastAsia="en-GB"/>
        </w:rPr>
      </w:pPr>
      <w:r w:rsidRPr="00ED5AD0">
        <w:rPr>
          <w:rFonts w:cs="Arial"/>
          <w:color w:val="0B0C0C"/>
          <w:szCs w:val="24"/>
          <w:lang w:eastAsia="en-GB"/>
        </w:rPr>
        <w:t>give examples of the exceptional circumstances in which Special Severance Payments may be appropriate</w:t>
      </w:r>
    </w:p>
    <w:p w14:paraId="08E6B8C0" w14:textId="77777777" w:rsidR="00D32888" w:rsidRPr="00ED5AD0" w:rsidRDefault="00D32888" w:rsidP="00D32888">
      <w:pPr>
        <w:numPr>
          <w:ilvl w:val="0"/>
          <w:numId w:val="45"/>
        </w:numPr>
        <w:shd w:val="clear" w:color="auto" w:fill="FFFFFF"/>
        <w:spacing w:after="75"/>
        <w:ind w:left="300"/>
        <w:rPr>
          <w:rFonts w:cs="Arial"/>
          <w:color w:val="0B0C0C"/>
          <w:szCs w:val="24"/>
          <w:lang w:eastAsia="en-GB"/>
        </w:rPr>
      </w:pPr>
      <w:r w:rsidRPr="00ED5AD0">
        <w:rPr>
          <w:rFonts w:cs="Arial"/>
          <w:color w:val="0B0C0C"/>
          <w:szCs w:val="24"/>
          <w:lang w:eastAsia="en-GB"/>
        </w:rPr>
        <w:t>clarify the disclosure and reporting requirements for Special Severance Payments</w:t>
      </w:r>
    </w:p>
    <w:p w14:paraId="164A6516"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 xml:space="preserve">1.6 Severance payments can be an important mechanism to allow employers to reform and react to new circumstances in the workplace, but employers have a responsibility to ensure that Special Severance Payments are only made when there is a clear, evidenced justification for doing so. They should also ensure that all </w:t>
      </w:r>
      <w:r w:rsidRPr="00ED5AD0">
        <w:rPr>
          <w:rFonts w:cs="Arial"/>
          <w:color w:val="0B0C0C"/>
          <w:szCs w:val="24"/>
          <w:lang w:eastAsia="en-GB"/>
        </w:rPr>
        <w:lastRenderedPageBreak/>
        <w:t>relevant internal policies and procedures have been followed and all alternative actions have been fully explored and documented.</w:t>
      </w:r>
    </w:p>
    <w:p w14:paraId="3F14AD79" w14:textId="77777777" w:rsidR="00D32888" w:rsidRPr="00ED5AD0" w:rsidRDefault="00D32888" w:rsidP="00B34B13">
      <w:pPr>
        <w:shd w:val="clear" w:color="auto" w:fill="FFFFFF"/>
        <w:spacing w:after="300"/>
        <w:rPr>
          <w:rFonts w:cs="Arial"/>
          <w:color w:val="0B0C0C"/>
          <w:szCs w:val="24"/>
          <w:lang w:eastAsia="en-GB"/>
        </w:rPr>
      </w:pPr>
      <w:r w:rsidRPr="00ED5AD0">
        <w:rPr>
          <w:rFonts w:cs="Arial"/>
          <w:color w:val="0B0C0C"/>
          <w:szCs w:val="24"/>
          <w:lang w:eastAsia="en-GB"/>
        </w:rPr>
        <w:t>1.7 In the exceptional circumstances where it is decided that a Special Severance Payment should be paid, it is the responsibility of individual employers to ensure their Special Severance Payments arrangements are fair, proportionate, lawful and provide value for money for the taxpayer.</w:t>
      </w:r>
    </w:p>
    <w:p w14:paraId="174FC271" w14:textId="77777777" w:rsidR="00D32888" w:rsidRPr="00ED5AD0" w:rsidRDefault="00D32888" w:rsidP="00D32888">
      <w:pPr>
        <w:shd w:val="clear" w:color="auto" w:fill="FFFFFF"/>
        <w:spacing w:before="300" w:after="300"/>
        <w:rPr>
          <w:rFonts w:cs="Arial"/>
          <w:b/>
          <w:bCs/>
          <w:color w:val="0B0C0C"/>
          <w:szCs w:val="24"/>
          <w:lang w:eastAsia="en-GB"/>
        </w:rPr>
      </w:pPr>
      <w:r w:rsidRPr="00ED5AD0">
        <w:rPr>
          <w:rFonts w:cs="Arial"/>
          <w:b/>
          <w:bCs/>
          <w:color w:val="0B0C0C"/>
          <w:szCs w:val="24"/>
          <w:lang w:eastAsia="en-GB"/>
        </w:rPr>
        <w:t>2. What is a special severance payment?</w:t>
      </w:r>
    </w:p>
    <w:p w14:paraId="69E32777" w14:textId="77777777" w:rsidR="00D32888" w:rsidRPr="00ED5AD0" w:rsidRDefault="00D32888" w:rsidP="00B34B13">
      <w:pPr>
        <w:shd w:val="clear" w:color="auto" w:fill="FFFFFF"/>
        <w:spacing w:after="300"/>
        <w:rPr>
          <w:rFonts w:cs="Arial"/>
          <w:color w:val="0B0C0C"/>
          <w:szCs w:val="24"/>
          <w:lang w:eastAsia="en-GB"/>
        </w:rPr>
      </w:pPr>
      <w:r w:rsidRPr="00ED5AD0">
        <w:rPr>
          <w:rFonts w:cs="Arial"/>
          <w:color w:val="0B0C0C"/>
          <w:szCs w:val="24"/>
          <w:lang w:eastAsia="en-GB"/>
        </w:rPr>
        <w:t>2.1 In the context of this guidance, Special Severance Payments are payments made to employees, officeholders, workers, contractors, and others outside of statutory, contractual or other requirements when leaving employment in public service. Employers may sometimes consider making such a payment in situations where the individual concerned resigns, is dismissed, or agrees a termination of contract. Which types of payments are Special Severance Payments will vary according to an employee’s particular circumstances, and therefore the examples below are illustrative only.</w:t>
      </w:r>
    </w:p>
    <w:p w14:paraId="4A6DE5D5" w14:textId="77777777" w:rsidR="00D32888" w:rsidRPr="00ED5AD0" w:rsidRDefault="00D32888" w:rsidP="00B34B13">
      <w:pPr>
        <w:shd w:val="clear" w:color="auto" w:fill="FFFFFF"/>
        <w:spacing w:after="240"/>
        <w:rPr>
          <w:rFonts w:cs="Arial"/>
          <w:color w:val="0B0C0C"/>
          <w:szCs w:val="24"/>
          <w:lang w:eastAsia="en-GB"/>
        </w:rPr>
      </w:pPr>
      <w:r w:rsidRPr="00ED5AD0">
        <w:rPr>
          <w:rFonts w:cs="Arial"/>
          <w:color w:val="0B0C0C"/>
          <w:szCs w:val="24"/>
          <w:lang w:eastAsia="en-GB"/>
        </w:rPr>
        <w:t>2.2 It is established case-law</w:t>
      </w:r>
      <w:hyperlink r:id="rId22" w:anchor="fn:1" w:history="1">
        <w:r w:rsidRPr="00ED5AD0">
          <w:rPr>
            <w:rFonts w:cs="Arial"/>
            <w:color w:val="1D70B8"/>
            <w:szCs w:val="24"/>
            <w:u w:val="single"/>
            <w:vertAlign w:val="superscript"/>
            <w:lang w:eastAsia="en-GB"/>
          </w:rPr>
          <w:t>[footnote 1]</w:t>
        </w:r>
      </w:hyperlink>
      <w:r w:rsidRPr="00ED5AD0">
        <w:rPr>
          <w:rFonts w:cs="Arial"/>
          <w:color w:val="0B0C0C"/>
          <w:szCs w:val="24"/>
          <w:lang w:eastAsia="en-GB"/>
        </w:rPr>
        <w:t> that such payments, where in accordance with legislation, may only be made where there is a convincing case that they are in the interests of taxpayers. Local authorities may not be generous at the expense of taxpayers and must genuinely consider payments to be in the public interest. In taking decisions elected members must make all proper enquiries and consider all available material that can help in coming to a decision.</w:t>
      </w:r>
    </w:p>
    <w:p w14:paraId="751701E7"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2.3 The following types of payments are likely to constitute Special Severance Payments:</w:t>
      </w:r>
    </w:p>
    <w:p w14:paraId="0EB0FFD8"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a) any payments reached under a settlement agreement between the employer and employee to discontinue legal proceedings without admission of fault</w:t>
      </w:r>
    </w:p>
    <w:p w14:paraId="3753BDF0"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b) the value of any employee benefits or allowances which are allowed to continue beyond the employee’s agreed exit date</w:t>
      </w:r>
    </w:p>
    <w:p w14:paraId="22AA6A12"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c) write-offs of any outstanding loans</w:t>
      </w:r>
    </w:p>
    <w:p w14:paraId="7EB3EBC2"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d) any honorarium payments</w:t>
      </w:r>
    </w:p>
    <w:p w14:paraId="57686CA8"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e) any hardship payments</w:t>
      </w:r>
    </w:p>
    <w:p w14:paraId="5C1D5A8C"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f) any payments to employees for retraining related to their termination of employment</w:t>
      </w:r>
    </w:p>
    <w:p w14:paraId="6D278DD0"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2.4 The following types of payments may constitute Special Severance Payments, depending on the terms of the individual’s contract, relevant statutory provisions, any non-statutory applicable schemes and other relevant terms and conditions:</w:t>
      </w:r>
    </w:p>
    <w:p w14:paraId="2178666A"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a) pay or compensation in lieu of notice where the amount of the payment is not greater than the salary due in the period of notice set out in the employee’s contract</w:t>
      </w:r>
    </w:p>
    <w:p w14:paraId="22FDC21B"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 xml:space="preserve">b) pension strain payments arising from employer discretions to enhance standard pension benefits (for example under Regulation 30(5) where the employer has </w:t>
      </w:r>
      <w:r w:rsidRPr="00ED5AD0">
        <w:rPr>
          <w:rFonts w:cs="Arial"/>
          <w:color w:val="0B0C0C"/>
          <w:szCs w:val="24"/>
          <w:lang w:eastAsia="en-GB"/>
        </w:rPr>
        <w:lastRenderedPageBreak/>
        <w:t>waived the reduction under Regulation 30(8) or because of the award of additional pension under Regulation 31)</w:t>
      </w:r>
    </w:p>
    <w:p w14:paraId="7C0C583A" w14:textId="77777777" w:rsidR="00D32888" w:rsidRPr="00ED5AD0" w:rsidRDefault="00D32888" w:rsidP="00B34B13">
      <w:pPr>
        <w:shd w:val="clear" w:color="auto" w:fill="FFFFFF"/>
        <w:spacing w:before="360"/>
        <w:rPr>
          <w:rFonts w:cs="Arial"/>
          <w:color w:val="0B0C0C"/>
          <w:szCs w:val="24"/>
          <w:lang w:eastAsia="en-GB"/>
        </w:rPr>
      </w:pPr>
      <w:r w:rsidRPr="00ED5AD0">
        <w:rPr>
          <w:rFonts w:cs="Arial"/>
          <w:color w:val="0B0C0C"/>
          <w:szCs w:val="24"/>
          <w:lang w:eastAsia="en-GB"/>
        </w:rPr>
        <w:t>2.5 The following do not constitute Special Severance Payments:</w:t>
      </w:r>
    </w:p>
    <w:p w14:paraId="00A1A1C9"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a) statutory redundancy payments</w:t>
      </w:r>
    </w:p>
    <w:p w14:paraId="53C8411C"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b) contractual redundancy payments, whether applicable to voluntary or compulsory redundancy, and whether agreed by collective agreement or otherwise</w:t>
      </w:r>
    </w:p>
    <w:p w14:paraId="4476A5A4"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c) severance payments made in accordance with that local authority’s policy adopted pursuant to Regulation 7 of the Local Government (Early Termination of Employment) (Discretionary Compensation) (England and Wales) Regulations 2006</w:t>
      </w:r>
    </w:p>
    <w:p w14:paraId="16BD5B0C"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d) a strain cost paid to the relevant LGPS administering authority under LGPS Regulation 68(2) which results from a LGPS member’s retirement benefits becoming immediately payable without reduction under Regulation 30(7), or under Regulation 30(6) where the employer has waived the reduction under Regulation 30(8)</w:t>
      </w:r>
    </w:p>
    <w:p w14:paraId="795AA65C"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e) payment for untaken annual leave</w:t>
      </w:r>
    </w:p>
    <w:p w14:paraId="25AD10CF"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f) payments ordered by a court or tribunal or agreed as part of a judicial or non-judicial mediation</w:t>
      </w:r>
    </w:p>
    <w:p w14:paraId="7B6A9290"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g) payments made as part of the ACAS Early Conciliation process</w:t>
      </w:r>
    </w:p>
    <w:p w14:paraId="42859573" w14:textId="77777777" w:rsidR="00D32888" w:rsidRPr="00ED5AD0" w:rsidRDefault="00D32888" w:rsidP="00B34B13">
      <w:pPr>
        <w:shd w:val="clear" w:color="auto" w:fill="FFFFFF"/>
        <w:spacing w:before="120"/>
        <w:rPr>
          <w:rFonts w:cs="Arial"/>
          <w:color w:val="0B0C0C"/>
          <w:szCs w:val="24"/>
          <w:lang w:eastAsia="en-GB"/>
        </w:rPr>
      </w:pPr>
      <w:r w:rsidRPr="00ED5AD0">
        <w:rPr>
          <w:rFonts w:cs="Arial"/>
          <w:color w:val="0B0C0C"/>
          <w:szCs w:val="24"/>
          <w:lang w:eastAsia="en-GB"/>
        </w:rPr>
        <w:t>h) payments made to compensate for injury or death of the worker</w:t>
      </w:r>
    </w:p>
    <w:p w14:paraId="19C32F6D" w14:textId="77777777" w:rsidR="00D32888" w:rsidRPr="00ED5AD0" w:rsidRDefault="00D32888" w:rsidP="00B34B13">
      <w:pPr>
        <w:shd w:val="clear" w:color="auto" w:fill="FFFFFF"/>
        <w:spacing w:before="120"/>
        <w:rPr>
          <w:rFonts w:cs="Arial"/>
          <w:color w:val="0B0C0C"/>
          <w:szCs w:val="24"/>
          <w:lang w:eastAsia="en-GB"/>
        </w:rPr>
      </w:pPr>
      <w:proofErr w:type="spellStart"/>
      <w:r w:rsidRPr="00ED5AD0">
        <w:rPr>
          <w:rFonts w:cs="Arial"/>
          <w:color w:val="0B0C0C"/>
          <w:szCs w:val="24"/>
          <w:lang w:eastAsia="en-GB"/>
        </w:rPr>
        <w:t>i</w:t>
      </w:r>
      <w:proofErr w:type="spellEnd"/>
      <w:r w:rsidRPr="00ED5AD0">
        <w:rPr>
          <w:rFonts w:cs="Arial"/>
          <w:color w:val="0B0C0C"/>
          <w:szCs w:val="24"/>
          <w:lang w:eastAsia="en-GB"/>
        </w:rPr>
        <w:t>) payments made in consequence of the award of ill-health retirement benefits under Regulation 35 of the LGPS Regulations</w:t>
      </w:r>
    </w:p>
    <w:p w14:paraId="6FFF297C" w14:textId="77777777" w:rsidR="00D32888" w:rsidRPr="00ED5AD0" w:rsidRDefault="00D32888" w:rsidP="00B34B13">
      <w:pPr>
        <w:shd w:val="clear" w:color="auto" w:fill="FFFFFF"/>
        <w:spacing w:before="480"/>
        <w:outlineLvl w:val="1"/>
        <w:rPr>
          <w:rFonts w:cs="Arial"/>
          <w:b/>
          <w:bCs/>
          <w:color w:val="0B0C0C"/>
          <w:szCs w:val="24"/>
          <w:lang w:eastAsia="en-GB"/>
        </w:rPr>
      </w:pPr>
      <w:r w:rsidRPr="00ED5AD0">
        <w:rPr>
          <w:rFonts w:cs="Arial"/>
          <w:b/>
          <w:bCs/>
          <w:color w:val="0B0C0C"/>
          <w:szCs w:val="24"/>
          <w:lang w:eastAsia="en-GB"/>
        </w:rPr>
        <w:t>3. Considerations for local authorities on potential Special Severance Payments</w:t>
      </w:r>
    </w:p>
    <w:p w14:paraId="2AE75F6D"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3.1 This chapter provides guidance on relevant considerations for English local authorities in relation to making Special Severance Payments.</w:t>
      </w:r>
    </w:p>
    <w:p w14:paraId="0944A94D" w14:textId="77777777" w:rsidR="00D32888" w:rsidRPr="00ED5AD0" w:rsidRDefault="00D32888" w:rsidP="00B34B13">
      <w:pPr>
        <w:shd w:val="clear" w:color="auto" w:fill="FFFFFF"/>
        <w:spacing w:before="120" w:after="120"/>
        <w:rPr>
          <w:rFonts w:cs="Arial"/>
          <w:color w:val="0B0C0C"/>
          <w:szCs w:val="24"/>
          <w:lang w:eastAsia="en-GB"/>
        </w:rPr>
      </w:pPr>
      <w:r w:rsidRPr="00ED5AD0">
        <w:rPr>
          <w:rFonts w:cs="Arial"/>
          <w:color w:val="0B0C0C"/>
          <w:szCs w:val="24"/>
          <w:lang w:eastAsia="en-GB"/>
        </w:rPr>
        <w:t>3.2 Local authorities must comply with the duty of Best Value explained in the introduction. In considering whether it is appropriate to make a Special Severance Payment, the government expects local authorities to consider whether such a payment would be a proper use of public money. Local authorities should also monitor and review their policies on the award of special severance payments to ensure that they are also consistent with their Public Sector Equality Duty under the Equality Act 2010.</w:t>
      </w:r>
    </w:p>
    <w:p w14:paraId="2A1F9424" w14:textId="77777777" w:rsidR="00D32888" w:rsidRPr="00ED5AD0" w:rsidRDefault="00D32888" w:rsidP="00B34B13">
      <w:pPr>
        <w:shd w:val="clear" w:color="auto" w:fill="FFFFFF"/>
        <w:spacing w:before="360"/>
        <w:outlineLvl w:val="2"/>
        <w:rPr>
          <w:rFonts w:cs="Arial"/>
          <w:b/>
          <w:bCs/>
          <w:color w:val="0B0C0C"/>
          <w:szCs w:val="24"/>
          <w:lang w:eastAsia="en-GB"/>
        </w:rPr>
      </w:pPr>
      <w:r w:rsidRPr="00ED5AD0">
        <w:rPr>
          <w:rFonts w:cs="Arial"/>
          <w:b/>
          <w:bCs/>
          <w:color w:val="0B0C0C"/>
          <w:szCs w:val="24"/>
          <w:lang w:eastAsia="en-GB"/>
        </w:rPr>
        <w:t>Economy</w:t>
      </w:r>
    </w:p>
    <w:p w14:paraId="1882E027"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3.3 Local authorities should be able to demonstrate their economic rationale behind proposed Special Severance Payments including consideration of:</w:t>
      </w:r>
    </w:p>
    <w:p w14:paraId="6FDDFF0C" w14:textId="77777777" w:rsidR="00D32888" w:rsidRPr="00ED5AD0" w:rsidRDefault="00D32888" w:rsidP="00D32888">
      <w:pPr>
        <w:numPr>
          <w:ilvl w:val="0"/>
          <w:numId w:val="46"/>
        </w:numPr>
        <w:shd w:val="clear" w:color="auto" w:fill="FFFFFF"/>
        <w:spacing w:after="75"/>
        <w:ind w:left="300"/>
        <w:rPr>
          <w:rFonts w:cs="Arial"/>
          <w:color w:val="0B0C0C"/>
          <w:szCs w:val="24"/>
          <w:lang w:eastAsia="en-GB"/>
        </w:rPr>
      </w:pPr>
      <w:r w:rsidRPr="00ED5AD0">
        <w:rPr>
          <w:rFonts w:cs="Arial"/>
          <w:color w:val="0B0C0C"/>
          <w:szCs w:val="24"/>
          <w:lang w:eastAsia="en-GB"/>
        </w:rPr>
        <w:t>Whether there is any feasible possibility of exiting the individual at a lower cost. Only where there is no such possibility should a Special Severance Payment be considered</w:t>
      </w:r>
    </w:p>
    <w:p w14:paraId="328E691E" w14:textId="77777777" w:rsidR="00D32888" w:rsidRPr="00ED5AD0" w:rsidRDefault="00D32888" w:rsidP="00D32888">
      <w:pPr>
        <w:numPr>
          <w:ilvl w:val="0"/>
          <w:numId w:val="46"/>
        </w:numPr>
        <w:shd w:val="clear" w:color="auto" w:fill="FFFFFF"/>
        <w:spacing w:after="75"/>
        <w:ind w:left="300"/>
        <w:rPr>
          <w:rFonts w:cs="Arial"/>
          <w:color w:val="0B0C0C"/>
          <w:szCs w:val="24"/>
          <w:lang w:eastAsia="en-GB"/>
        </w:rPr>
      </w:pPr>
      <w:r w:rsidRPr="00ED5AD0">
        <w:rPr>
          <w:rFonts w:cs="Arial"/>
          <w:color w:val="0B0C0C"/>
          <w:szCs w:val="24"/>
          <w:lang w:eastAsia="en-GB"/>
        </w:rPr>
        <w:lastRenderedPageBreak/>
        <w:t>How the exit payment will be perceived by the public and whether it is in line with the duty to manage taxpayers’ money appropriately</w:t>
      </w:r>
    </w:p>
    <w:p w14:paraId="1C63842F" w14:textId="77777777" w:rsidR="00D32888" w:rsidRPr="00ED5AD0" w:rsidRDefault="00D32888" w:rsidP="00D32888">
      <w:pPr>
        <w:numPr>
          <w:ilvl w:val="0"/>
          <w:numId w:val="46"/>
        </w:numPr>
        <w:shd w:val="clear" w:color="auto" w:fill="FFFFFF"/>
        <w:spacing w:after="75"/>
        <w:ind w:left="300"/>
        <w:rPr>
          <w:rFonts w:cs="Arial"/>
          <w:color w:val="0B0C0C"/>
          <w:szCs w:val="24"/>
          <w:lang w:eastAsia="en-GB"/>
        </w:rPr>
      </w:pPr>
      <w:r w:rsidRPr="00ED5AD0">
        <w:rPr>
          <w:rFonts w:cs="Arial"/>
          <w:color w:val="0B0C0C"/>
          <w:szCs w:val="24"/>
          <w:lang w:eastAsia="en-GB"/>
        </w:rPr>
        <w:t>What alternative use could be made of that expenditure. All Special Severance Payments necessarily reduce the funds that would otherwise be available to deliver important public services</w:t>
      </w:r>
    </w:p>
    <w:p w14:paraId="30D2C236" w14:textId="77777777" w:rsidR="00D32888" w:rsidRPr="00ED5AD0" w:rsidRDefault="00D32888" w:rsidP="00D32888">
      <w:pPr>
        <w:numPr>
          <w:ilvl w:val="0"/>
          <w:numId w:val="46"/>
        </w:numPr>
        <w:shd w:val="clear" w:color="auto" w:fill="FFFFFF"/>
        <w:spacing w:after="75"/>
        <w:ind w:left="300"/>
        <w:rPr>
          <w:rFonts w:cs="Arial"/>
          <w:color w:val="0B0C0C"/>
          <w:szCs w:val="24"/>
          <w:lang w:eastAsia="en-GB"/>
        </w:rPr>
      </w:pPr>
      <w:r w:rsidRPr="00ED5AD0">
        <w:rPr>
          <w:rFonts w:cs="Arial"/>
          <w:color w:val="0B0C0C"/>
          <w:szCs w:val="24"/>
          <w:lang w:eastAsia="en-GB"/>
        </w:rPr>
        <w:t>The setting of any potential precedent (e.g. where a Special Severance Payment is made to certain employees and not others)</w:t>
      </w:r>
    </w:p>
    <w:p w14:paraId="207161DE" w14:textId="77777777" w:rsidR="00D32888" w:rsidRPr="00ED5AD0" w:rsidRDefault="00D32888" w:rsidP="00D32888">
      <w:pPr>
        <w:numPr>
          <w:ilvl w:val="0"/>
          <w:numId w:val="46"/>
        </w:numPr>
        <w:shd w:val="clear" w:color="auto" w:fill="FFFFFF"/>
        <w:spacing w:after="75"/>
        <w:ind w:left="300"/>
        <w:rPr>
          <w:rFonts w:cs="Arial"/>
          <w:color w:val="0B0C0C"/>
          <w:szCs w:val="24"/>
          <w:lang w:eastAsia="en-GB"/>
        </w:rPr>
      </w:pPr>
      <w:r w:rsidRPr="00ED5AD0">
        <w:rPr>
          <w:rFonts w:cs="Arial"/>
          <w:color w:val="0B0C0C"/>
          <w:szCs w:val="24"/>
          <w:lang w:eastAsia="en-GB"/>
        </w:rPr>
        <w:t>Evidence for additionality i.e. that those offered Special Severance Payments would not have been willing, under any circumstances, to leave with their statutory and contractual benefits alone</w:t>
      </w:r>
    </w:p>
    <w:p w14:paraId="38C449BB" w14:textId="77777777" w:rsidR="00D32888" w:rsidRPr="00ED5AD0" w:rsidRDefault="00D32888" w:rsidP="00B34B13">
      <w:pPr>
        <w:shd w:val="clear" w:color="auto" w:fill="FFFFFF"/>
        <w:spacing w:before="480"/>
        <w:outlineLvl w:val="2"/>
        <w:rPr>
          <w:rFonts w:cs="Arial"/>
          <w:b/>
          <w:bCs/>
          <w:color w:val="0B0C0C"/>
          <w:szCs w:val="24"/>
          <w:lang w:eastAsia="en-GB"/>
        </w:rPr>
      </w:pPr>
      <w:r w:rsidRPr="00ED5AD0">
        <w:rPr>
          <w:rFonts w:cs="Arial"/>
          <w:b/>
          <w:bCs/>
          <w:color w:val="0B0C0C"/>
          <w:szCs w:val="24"/>
          <w:lang w:eastAsia="en-GB"/>
        </w:rPr>
        <w:t>Efficiency and effectiveness</w:t>
      </w:r>
    </w:p>
    <w:p w14:paraId="5D4D5ABB"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3.4 In considering the impact of Special Severance Payments on efficiency and effectiveness, local authorities should:</w:t>
      </w:r>
    </w:p>
    <w:p w14:paraId="7B9EA2EE" w14:textId="77777777" w:rsidR="00D32888" w:rsidRPr="00ED5AD0" w:rsidRDefault="00D32888" w:rsidP="00D32888">
      <w:pPr>
        <w:numPr>
          <w:ilvl w:val="0"/>
          <w:numId w:val="47"/>
        </w:numPr>
        <w:shd w:val="clear" w:color="auto" w:fill="FFFFFF"/>
        <w:spacing w:after="75"/>
        <w:ind w:left="300"/>
        <w:rPr>
          <w:rFonts w:cs="Arial"/>
          <w:color w:val="0B0C0C"/>
          <w:szCs w:val="24"/>
          <w:lang w:eastAsia="en-GB"/>
        </w:rPr>
      </w:pPr>
      <w:r w:rsidRPr="00ED5AD0">
        <w:rPr>
          <w:rFonts w:cs="Arial"/>
          <w:color w:val="0B0C0C"/>
          <w:szCs w:val="24"/>
          <w:lang w:eastAsia="en-GB"/>
        </w:rPr>
        <w:t>Seek legal advice on the prospects of successfully defending an Employment Tribunal claim (or claim to any other court or tribunal with jurisdiction), if an employee were to take a legal route to appeal any grounds of their employment being terminated. The chance of success and the costs likely to be incurred should be noted and weighed up against the costs of making a Special Severance Payment</w:t>
      </w:r>
    </w:p>
    <w:p w14:paraId="0FDD6CFD" w14:textId="77777777" w:rsidR="00D32888" w:rsidRPr="00ED5AD0" w:rsidRDefault="00D32888" w:rsidP="00D32888">
      <w:pPr>
        <w:numPr>
          <w:ilvl w:val="0"/>
          <w:numId w:val="47"/>
        </w:numPr>
        <w:shd w:val="clear" w:color="auto" w:fill="FFFFFF"/>
        <w:spacing w:after="75"/>
        <w:ind w:left="300"/>
        <w:rPr>
          <w:rFonts w:cs="Arial"/>
          <w:color w:val="0B0C0C"/>
          <w:szCs w:val="24"/>
          <w:lang w:eastAsia="en-GB"/>
        </w:rPr>
      </w:pPr>
      <w:r w:rsidRPr="00ED5AD0">
        <w:rPr>
          <w:rFonts w:cs="Arial"/>
          <w:color w:val="0B0C0C"/>
          <w:szCs w:val="24"/>
          <w:lang w:eastAsia="en-GB"/>
        </w:rPr>
        <w:t>Ensure that these payments are not used to avoid management action, disciplinary processes, unwelcome publicity or avoidance of embarrassment</w:t>
      </w:r>
    </w:p>
    <w:p w14:paraId="3CAAE85F" w14:textId="77777777" w:rsidR="00D32888" w:rsidRPr="00ED5AD0" w:rsidRDefault="00D32888" w:rsidP="00D32888">
      <w:pPr>
        <w:numPr>
          <w:ilvl w:val="0"/>
          <w:numId w:val="47"/>
        </w:numPr>
        <w:shd w:val="clear" w:color="auto" w:fill="FFFFFF"/>
        <w:spacing w:after="75"/>
        <w:ind w:left="300"/>
        <w:rPr>
          <w:rFonts w:cs="Arial"/>
          <w:color w:val="0B0C0C"/>
          <w:szCs w:val="24"/>
          <w:lang w:eastAsia="en-GB"/>
        </w:rPr>
      </w:pPr>
      <w:r w:rsidRPr="00ED5AD0">
        <w:rPr>
          <w:rFonts w:cs="Arial"/>
          <w:color w:val="0B0C0C"/>
          <w:szCs w:val="24"/>
          <w:lang w:eastAsia="en-GB"/>
        </w:rPr>
        <w:t>Consider aligning with private sector practice, where payments are typically less generous. This is important given the added duty in the public sector to prudently manage taxpayers’ money</w:t>
      </w:r>
    </w:p>
    <w:p w14:paraId="03A162C7" w14:textId="77777777" w:rsidR="00D32888" w:rsidRPr="00ED5AD0" w:rsidRDefault="00D32888" w:rsidP="00D32888">
      <w:pPr>
        <w:numPr>
          <w:ilvl w:val="0"/>
          <w:numId w:val="47"/>
        </w:numPr>
        <w:shd w:val="clear" w:color="auto" w:fill="FFFFFF"/>
        <w:spacing w:after="75"/>
        <w:ind w:left="300"/>
        <w:rPr>
          <w:rFonts w:cs="Arial"/>
          <w:color w:val="0B0C0C"/>
          <w:szCs w:val="24"/>
          <w:lang w:eastAsia="en-GB"/>
        </w:rPr>
      </w:pPr>
      <w:r w:rsidRPr="00ED5AD0">
        <w:rPr>
          <w:rFonts w:cs="Arial"/>
          <w:color w:val="0B0C0C"/>
          <w:szCs w:val="24"/>
          <w:lang w:eastAsia="en-GB"/>
        </w:rPr>
        <w:t>Manage conflicts of interest to ensure that individuals who are the subject of complaints play absolutely no role in deciding whether those complaints should be settled by making an award to the complainant from public funds</w:t>
      </w:r>
    </w:p>
    <w:p w14:paraId="61570CBC" w14:textId="77777777" w:rsidR="00D32888" w:rsidRPr="00ED5AD0" w:rsidRDefault="00D32888" w:rsidP="00B34B13">
      <w:pPr>
        <w:shd w:val="clear" w:color="auto" w:fill="FFFFFF"/>
        <w:spacing w:before="600"/>
        <w:outlineLvl w:val="1"/>
        <w:rPr>
          <w:rFonts w:cs="Arial"/>
          <w:b/>
          <w:bCs/>
          <w:color w:val="0B0C0C"/>
          <w:szCs w:val="24"/>
          <w:lang w:eastAsia="en-GB"/>
        </w:rPr>
      </w:pPr>
      <w:r w:rsidRPr="00ED5AD0">
        <w:rPr>
          <w:rFonts w:cs="Arial"/>
          <w:b/>
          <w:bCs/>
          <w:color w:val="0B0C0C"/>
          <w:szCs w:val="24"/>
          <w:lang w:eastAsia="en-GB"/>
        </w:rPr>
        <w:t>4. Exceptional circumstances in which it may be appropriate to consider making Special Severance Payments</w:t>
      </w:r>
    </w:p>
    <w:p w14:paraId="63907B16"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 xml:space="preserve">4.1 There may be exceptional circumstances where the existing statutory or contractual entitlements, or both, are insufficient to facilitate an exit or to offer sufficient compensation for loss of employment or office. This can apply to office holders as well as staff. These circumstances, which we expect to be exceptional and provide value for money, may be </w:t>
      </w:r>
      <w:proofErr w:type="gramStart"/>
      <w:r w:rsidRPr="00ED5AD0">
        <w:rPr>
          <w:rFonts w:cs="Arial"/>
          <w:color w:val="0B0C0C"/>
          <w:szCs w:val="24"/>
          <w:lang w:eastAsia="en-GB"/>
        </w:rPr>
        <w:t>taken into account</w:t>
      </w:r>
      <w:proofErr w:type="gramEnd"/>
      <w:r w:rsidRPr="00ED5AD0">
        <w:rPr>
          <w:rFonts w:cs="Arial"/>
          <w:color w:val="0B0C0C"/>
          <w:szCs w:val="24"/>
          <w:lang w:eastAsia="en-GB"/>
        </w:rPr>
        <w:t xml:space="preserve"> by local authorities in deciding whether or not to make a Special Severance Payment.</w:t>
      </w:r>
    </w:p>
    <w:p w14:paraId="38CEDF52"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 xml:space="preserve">4.2 Authorities may consider a Special Severance Payment </w:t>
      </w:r>
      <w:proofErr w:type="gramStart"/>
      <w:r w:rsidRPr="00ED5AD0">
        <w:rPr>
          <w:rFonts w:cs="Arial"/>
          <w:color w:val="0B0C0C"/>
          <w:szCs w:val="24"/>
          <w:lang w:eastAsia="en-GB"/>
        </w:rPr>
        <w:t>in order to</w:t>
      </w:r>
      <w:proofErr w:type="gramEnd"/>
      <w:r w:rsidRPr="00ED5AD0">
        <w:rPr>
          <w:rFonts w:cs="Arial"/>
          <w:color w:val="0B0C0C"/>
          <w:szCs w:val="24"/>
          <w:lang w:eastAsia="en-GB"/>
        </w:rPr>
        <w:t xml:space="preserve"> set aside what would otherwise be a reduction in entitlement caused by a break in continuity of service (e.g. where a member of staff has taken a break in service to accompany their spouse on military service overseas). Authorities may also consider that a Special Severance Payment is appropriate in circumstances where, to help recruitment and retention, it has resolved to recognise for severance payment </w:t>
      </w:r>
      <w:r w:rsidRPr="00ED5AD0">
        <w:rPr>
          <w:rFonts w:cs="Arial"/>
          <w:color w:val="0B0C0C"/>
          <w:szCs w:val="24"/>
          <w:lang w:eastAsia="en-GB"/>
        </w:rPr>
        <w:lastRenderedPageBreak/>
        <w:t>calculation purposes past service with another non-Modification Order employer (such as service with the NHS prior to the transfer of public health functions to local government)</w:t>
      </w:r>
      <w:hyperlink r:id="rId23" w:anchor="fn:2" w:history="1">
        <w:r w:rsidRPr="00ED5AD0">
          <w:rPr>
            <w:rFonts w:cs="Arial"/>
            <w:color w:val="1D70B8"/>
            <w:szCs w:val="24"/>
            <w:u w:val="single"/>
            <w:vertAlign w:val="superscript"/>
            <w:lang w:eastAsia="en-GB"/>
          </w:rPr>
          <w:t>[footnote 2]</w:t>
        </w:r>
      </w:hyperlink>
      <w:r w:rsidRPr="00ED5AD0">
        <w:rPr>
          <w:rFonts w:cs="Arial"/>
          <w:color w:val="0B0C0C"/>
          <w:szCs w:val="24"/>
          <w:lang w:eastAsia="en-GB"/>
        </w:rPr>
        <w:t>.</w:t>
      </w:r>
    </w:p>
    <w:p w14:paraId="735A2EF1"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 xml:space="preserve">4.3 Authorities may also consider a Special Severance Payment </w:t>
      </w:r>
      <w:proofErr w:type="gramStart"/>
      <w:r w:rsidRPr="00ED5AD0">
        <w:rPr>
          <w:rFonts w:cs="Arial"/>
          <w:color w:val="0B0C0C"/>
          <w:szCs w:val="24"/>
          <w:lang w:eastAsia="en-GB"/>
        </w:rPr>
        <w:t>in order to</w:t>
      </w:r>
      <w:proofErr w:type="gramEnd"/>
      <w:r w:rsidRPr="00ED5AD0">
        <w:rPr>
          <w:rFonts w:cs="Arial"/>
          <w:color w:val="0B0C0C"/>
          <w:szCs w:val="24"/>
          <w:lang w:eastAsia="en-GB"/>
        </w:rPr>
        <w:t xml:space="preserve"> settle disputes, where it can be properly demonstrated that other routes have been thoroughly explored and excluded. After receiving appropriate professional advice, it may then possibly be concluded that a special severance payment is the most suitable option and prudent use of public money.</w:t>
      </w:r>
    </w:p>
    <w:p w14:paraId="65C7D1CE"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4.4 Those approving a Special Severance Payment related to a settlement agreement should be provided with appropriate evidence that attempts were made to resolve disputes before they escalated to a legal claim. They should also bear in mind that even if the cost of defeating an apparently frivolous or vexatious claims will exceed the likely cost of that settlement to the employer, it may still be desirable to take the case to formal proceedings. This is because successfully defending such cases will discourage future frivolous or vexatious claims and demonstrate that the local authority does not reward such claims.</w:t>
      </w:r>
    </w:p>
    <w:p w14:paraId="3DC8A839" w14:textId="77777777" w:rsidR="00D32888" w:rsidRPr="00ED5AD0" w:rsidRDefault="00D32888" w:rsidP="00B34B13">
      <w:pPr>
        <w:shd w:val="clear" w:color="auto" w:fill="FFFFFF"/>
        <w:spacing w:before="240"/>
        <w:outlineLvl w:val="1"/>
        <w:rPr>
          <w:rFonts w:cs="Arial"/>
          <w:b/>
          <w:bCs/>
          <w:color w:val="0B0C0C"/>
          <w:szCs w:val="24"/>
          <w:lang w:eastAsia="en-GB"/>
        </w:rPr>
      </w:pPr>
      <w:r w:rsidRPr="00ED5AD0">
        <w:rPr>
          <w:rFonts w:cs="Arial"/>
          <w:b/>
          <w:bCs/>
          <w:color w:val="0B0C0C"/>
          <w:szCs w:val="24"/>
          <w:lang w:eastAsia="en-GB"/>
        </w:rPr>
        <w:t>5. Accountability and disclosure</w:t>
      </w:r>
    </w:p>
    <w:p w14:paraId="55EA6B1F" w14:textId="77777777" w:rsidR="00D32888" w:rsidRPr="00ED5AD0" w:rsidRDefault="00D32888" w:rsidP="00B34B13">
      <w:pPr>
        <w:shd w:val="clear" w:color="auto" w:fill="FFFFFF"/>
        <w:spacing w:before="360"/>
        <w:outlineLvl w:val="2"/>
        <w:rPr>
          <w:rFonts w:cs="Arial"/>
          <w:b/>
          <w:bCs/>
          <w:color w:val="0B0C0C"/>
          <w:szCs w:val="24"/>
          <w:lang w:eastAsia="en-GB"/>
        </w:rPr>
      </w:pPr>
      <w:r w:rsidRPr="00ED5AD0">
        <w:rPr>
          <w:rFonts w:cs="Arial"/>
          <w:b/>
          <w:bCs/>
          <w:color w:val="0B0C0C"/>
          <w:szCs w:val="24"/>
          <w:lang w:eastAsia="en-GB"/>
        </w:rPr>
        <w:t>Accountability</w:t>
      </w:r>
    </w:p>
    <w:p w14:paraId="1D1C6AFE"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5.1 The government expects that any Special Severance payments should be approved according to the following process:</w:t>
      </w:r>
    </w:p>
    <w:p w14:paraId="664146DF" w14:textId="77777777" w:rsidR="00D32888" w:rsidRPr="00ED5AD0" w:rsidRDefault="00D32888" w:rsidP="00D32888">
      <w:pPr>
        <w:numPr>
          <w:ilvl w:val="0"/>
          <w:numId w:val="48"/>
        </w:numPr>
        <w:shd w:val="clear" w:color="auto" w:fill="FFFFFF"/>
        <w:spacing w:after="75"/>
        <w:ind w:left="300"/>
        <w:rPr>
          <w:rFonts w:cs="Arial"/>
          <w:color w:val="0B0C0C"/>
          <w:szCs w:val="24"/>
          <w:lang w:eastAsia="en-GB"/>
        </w:rPr>
      </w:pPr>
      <w:r w:rsidRPr="00ED5AD0">
        <w:rPr>
          <w:rFonts w:cs="Arial"/>
          <w:color w:val="0B0C0C"/>
          <w:szCs w:val="24"/>
          <w:lang w:eastAsia="en-GB"/>
        </w:rPr>
        <w:t>payments of £100,000 and above must be approved by a vote of full council, as set out in the Localism Act 2011</w:t>
      </w:r>
    </w:p>
    <w:p w14:paraId="7148C67B" w14:textId="77777777" w:rsidR="00D32888" w:rsidRPr="00ED5AD0" w:rsidRDefault="00D32888" w:rsidP="00D32888">
      <w:pPr>
        <w:numPr>
          <w:ilvl w:val="0"/>
          <w:numId w:val="48"/>
        </w:numPr>
        <w:shd w:val="clear" w:color="auto" w:fill="FFFFFF"/>
        <w:spacing w:after="75"/>
        <w:ind w:left="300"/>
        <w:rPr>
          <w:rFonts w:cs="Arial"/>
          <w:color w:val="0B0C0C"/>
          <w:szCs w:val="24"/>
          <w:lang w:eastAsia="en-GB"/>
        </w:rPr>
      </w:pPr>
      <w:r w:rsidRPr="00ED5AD0">
        <w:rPr>
          <w:rFonts w:cs="Arial"/>
          <w:color w:val="0B0C0C"/>
          <w:szCs w:val="24"/>
          <w:lang w:eastAsia="en-GB"/>
        </w:rPr>
        <w:t>payments of £20,000 and above, but below £100,000, must be personally approved and signed off by the Head of Paid Service, with a clear record of the Leader’s approval and that of any others who have signed off the payment</w:t>
      </w:r>
    </w:p>
    <w:p w14:paraId="0FF344FD" w14:textId="77777777" w:rsidR="00D32888" w:rsidRPr="00ED5AD0" w:rsidRDefault="00D32888" w:rsidP="00D32888">
      <w:pPr>
        <w:numPr>
          <w:ilvl w:val="0"/>
          <w:numId w:val="48"/>
        </w:numPr>
        <w:shd w:val="clear" w:color="auto" w:fill="FFFFFF"/>
        <w:spacing w:after="75"/>
        <w:ind w:left="300"/>
        <w:rPr>
          <w:rFonts w:cs="Arial"/>
          <w:color w:val="0B0C0C"/>
          <w:szCs w:val="24"/>
          <w:lang w:eastAsia="en-GB"/>
        </w:rPr>
      </w:pPr>
      <w:r w:rsidRPr="00ED5AD0">
        <w:rPr>
          <w:rFonts w:cs="Arial"/>
          <w:color w:val="0B0C0C"/>
          <w:szCs w:val="24"/>
          <w:lang w:eastAsia="en-GB"/>
        </w:rPr>
        <w:t>payments below £20,000 must be approved according to the local authority’s scheme of delegation. It is expected that local authorities should publish their policy and process for approving these payments</w:t>
      </w:r>
    </w:p>
    <w:p w14:paraId="02AA4B65"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5.2 Where the proposed payment is to the Head of Paid Service, to avoid a conflict of interest it is expected that the payment should be approved by a panel including at least two independent persons. A system of legal duties also requires elected members to spend public money with regularity and propriety. Under section 151 of the Local Government Act 1972, “every local authority shall make arrangements for the proper administration of their financial affairs and shall secure that one of their officers (the section 151 officer or Chief Finance Officer) has responsibility for the administration of those affairs”. The section 151 officer has an important role in holding local authorities to account and has duties to alert elected members and the auditor in the case of unlawful expenditure.</w:t>
      </w:r>
    </w:p>
    <w:p w14:paraId="5A1B1EFB"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lastRenderedPageBreak/>
        <w:t>5.3 This role is complemented and reinforced by authorities’ duty under section 5 of the Local Government and Housing Act 1989 to appoint a Monitoring Officer, who must report to the local authority when any proposal, decision or omission is likely to lead to contravention of any enactment, rule of law or statutory code.</w:t>
      </w:r>
    </w:p>
    <w:p w14:paraId="5D80735A"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5.4 As part of their duties, an authority’s s151 Officer, and where appropriate, the Monitoring Officer, should take a close interest in and be able to justify any special severance payments that are made by that authority and in particular any payments made that are not consistent with the content of this guidance.</w:t>
      </w:r>
    </w:p>
    <w:p w14:paraId="23D63151" w14:textId="77777777" w:rsidR="00D32888" w:rsidRPr="00ED5AD0" w:rsidRDefault="00D32888" w:rsidP="00B34B13">
      <w:pPr>
        <w:shd w:val="clear" w:color="auto" w:fill="FFFFFF"/>
        <w:spacing w:before="240"/>
        <w:outlineLvl w:val="2"/>
        <w:rPr>
          <w:rFonts w:cs="Arial"/>
          <w:b/>
          <w:bCs/>
          <w:color w:val="0B0C0C"/>
          <w:szCs w:val="24"/>
          <w:lang w:eastAsia="en-GB"/>
        </w:rPr>
      </w:pPr>
      <w:r w:rsidRPr="00ED5AD0">
        <w:rPr>
          <w:rFonts w:cs="Arial"/>
          <w:b/>
          <w:bCs/>
          <w:color w:val="0B0C0C"/>
          <w:szCs w:val="24"/>
          <w:lang w:eastAsia="en-GB"/>
        </w:rPr>
        <w:t>Disclosure</w:t>
      </w:r>
    </w:p>
    <w:p w14:paraId="6B2EC04C"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5.5 Clear and transparent reporting on exit payments is essential to make available better data on the number and level of exit payments made in local government. The availability of data on exit payments in the public domain by local authorities enables local accountability as well as effective management of public money and public confidence. In 2015, the Local Government Transparency Code was issued to increase democratic accountability through open access to information</w:t>
      </w:r>
      <w:hyperlink r:id="rId24" w:anchor="fn:3" w:history="1">
        <w:r w:rsidRPr="00ED5AD0">
          <w:rPr>
            <w:rFonts w:cs="Arial"/>
            <w:color w:val="1D70B8"/>
            <w:szCs w:val="24"/>
            <w:u w:val="single"/>
            <w:vertAlign w:val="superscript"/>
            <w:lang w:eastAsia="en-GB"/>
          </w:rPr>
          <w:t>[footnote 3]</w:t>
        </w:r>
      </w:hyperlink>
      <w:r w:rsidRPr="00ED5AD0">
        <w:rPr>
          <w:rFonts w:cs="Arial"/>
          <w:color w:val="0B0C0C"/>
          <w:szCs w:val="24"/>
          <w:lang w:eastAsia="en-GB"/>
        </w:rPr>
        <w:t>. This sets a requirement for local authorities to publish, under the Account and Audit Regulations 2015:</w:t>
      </w:r>
    </w:p>
    <w:p w14:paraId="7B941592" w14:textId="77777777" w:rsidR="00D32888" w:rsidRPr="00ED5AD0" w:rsidRDefault="00D32888" w:rsidP="00D32888">
      <w:pPr>
        <w:numPr>
          <w:ilvl w:val="0"/>
          <w:numId w:val="49"/>
        </w:numPr>
        <w:shd w:val="clear" w:color="auto" w:fill="FFFFFF"/>
        <w:spacing w:after="75"/>
        <w:ind w:left="300"/>
        <w:rPr>
          <w:rFonts w:cs="Arial"/>
          <w:color w:val="0B0C0C"/>
          <w:szCs w:val="24"/>
          <w:lang w:eastAsia="en-GB"/>
        </w:rPr>
      </w:pPr>
      <w:r w:rsidRPr="00ED5AD0">
        <w:rPr>
          <w:rFonts w:cs="Arial"/>
          <w:color w:val="0B0C0C"/>
          <w:szCs w:val="24"/>
          <w:lang w:eastAsia="en-GB"/>
        </w:rPr>
        <w:t>the number of employees whose remuneration in that year was at least £50,000 in brackets of £5,000</w:t>
      </w:r>
    </w:p>
    <w:p w14:paraId="7B0C8CE1" w14:textId="77777777" w:rsidR="00D32888" w:rsidRPr="00ED5AD0" w:rsidRDefault="00D32888" w:rsidP="00D32888">
      <w:pPr>
        <w:numPr>
          <w:ilvl w:val="0"/>
          <w:numId w:val="49"/>
        </w:numPr>
        <w:shd w:val="clear" w:color="auto" w:fill="FFFFFF"/>
        <w:spacing w:after="75"/>
        <w:ind w:left="300"/>
        <w:rPr>
          <w:rFonts w:cs="Arial"/>
          <w:color w:val="0B0C0C"/>
          <w:szCs w:val="24"/>
          <w:lang w:eastAsia="en-GB"/>
        </w:rPr>
      </w:pPr>
      <w:r w:rsidRPr="00ED5AD0">
        <w:rPr>
          <w:rFonts w:cs="Arial"/>
          <w:color w:val="0B0C0C"/>
          <w:szCs w:val="24"/>
          <w:lang w:eastAsia="en-GB"/>
        </w:rPr>
        <w:t>details of remuneration and job title of certain senior employees whose salary is at least £50,000, and</w:t>
      </w:r>
    </w:p>
    <w:p w14:paraId="2B8583E8" w14:textId="77777777" w:rsidR="00D32888" w:rsidRPr="00ED5AD0" w:rsidRDefault="00D32888" w:rsidP="00D32888">
      <w:pPr>
        <w:numPr>
          <w:ilvl w:val="0"/>
          <w:numId w:val="49"/>
        </w:numPr>
        <w:shd w:val="clear" w:color="auto" w:fill="FFFFFF"/>
        <w:spacing w:after="75"/>
        <w:ind w:left="300"/>
        <w:rPr>
          <w:rFonts w:cs="Arial"/>
          <w:color w:val="0B0C0C"/>
          <w:szCs w:val="24"/>
          <w:lang w:eastAsia="en-GB"/>
        </w:rPr>
      </w:pPr>
      <w:r w:rsidRPr="00ED5AD0">
        <w:rPr>
          <w:rFonts w:cs="Arial"/>
          <w:color w:val="0B0C0C"/>
          <w:szCs w:val="24"/>
          <w:lang w:eastAsia="en-GB"/>
        </w:rPr>
        <w:t>employees whose salaries are £150,000 or more must also be identified by name</w:t>
      </w:r>
    </w:p>
    <w:p w14:paraId="3C2231F9" w14:textId="77777777" w:rsidR="00D32888" w:rsidRPr="00ED5AD0" w:rsidRDefault="00D32888" w:rsidP="00D32888">
      <w:pPr>
        <w:shd w:val="clear" w:color="auto" w:fill="FFFFFF"/>
        <w:spacing w:before="300" w:after="300"/>
        <w:rPr>
          <w:rFonts w:cs="Arial"/>
          <w:color w:val="0B0C0C"/>
          <w:szCs w:val="24"/>
          <w:lang w:eastAsia="en-GB"/>
        </w:rPr>
      </w:pPr>
      <w:r w:rsidRPr="00ED5AD0">
        <w:rPr>
          <w:rFonts w:cs="Arial"/>
          <w:color w:val="0B0C0C"/>
          <w:szCs w:val="24"/>
          <w:lang w:eastAsia="en-GB"/>
        </w:rPr>
        <w:t>In addition to this requirement, local authorities must publish, for all employees whose salary exceeds £50,000, a list of responsibilities (for example, the services and functions they are responsible for, budget held and number of staff) and details of bonuses and benefits-in-kind.</w:t>
      </w:r>
    </w:p>
    <w:p w14:paraId="06E3FD5E"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5.6 DLUHC has initiated a new annual collection of data on exit payments (initially collecting data from 2014 – 2021) and the results will be published into official statistics and made available on the gov.uk website, subject to any necessary anonymisation or redaction to comply with data protection law. This data will help others to assess the number and level of exit payments made in local government.</w:t>
      </w:r>
    </w:p>
    <w:p w14:paraId="737BC5CE"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5.7 Section 38 of the Localism Act 2011 requires the local authority to produce and publish a pay policy statement, which must include the authority’s policies on termination payments. Further guidance on the requirements of the Localism Act 2011 has been issued</w:t>
      </w:r>
      <w:hyperlink r:id="rId25" w:anchor="fn:4" w:history="1">
        <w:r w:rsidRPr="00ED5AD0">
          <w:rPr>
            <w:rFonts w:cs="Arial"/>
            <w:color w:val="1D70B8"/>
            <w:szCs w:val="24"/>
            <w:u w:val="single"/>
            <w:vertAlign w:val="superscript"/>
            <w:lang w:eastAsia="en-GB"/>
          </w:rPr>
          <w:t>[footnote 4]</w:t>
        </w:r>
      </w:hyperlink>
      <w:r w:rsidRPr="00ED5AD0">
        <w:rPr>
          <w:rFonts w:cs="Arial"/>
          <w:color w:val="0B0C0C"/>
          <w:szCs w:val="24"/>
          <w:lang w:eastAsia="en-GB"/>
        </w:rPr>
        <w:t>.</w:t>
      </w:r>
    </w:p>
    <w:p w14:paraId="6E6054B0"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 xml:space="preserve">5.8 In addition, Regulation 60 of the Local Government Pension Scheme Regulations 2013 requires local authorities to prepare a statement of its policy in relation to the exercise of the discretion to enhance pension benefits under Regulations 16(2)(e) and 16(4)(d) (funding of additional pension), Regulation 30(6) </w:t>
      </w:r>
      <w:r w:rsidRPr="00ED5AD0">
        <w:rPr>
          <w:rFonts w:cs="Arial"/>
          <w:color w:val="0B0C0C"/>
          <w:szCs w:val="24"/>
          <w:lang w:eastAsia="en-GB"/>
        </w:rPr>
        <w:lastRenderedPageBreak/>
        <w:t>(flexible retirement), Regulation 30(8) (waiving of actuarial reduction); and Regulation 31 (award of additional pension).</w:t>
      </w:r>
    </w:p>
    <w:p w14:paraId="009DD0AA" w14:textId="77777777" w:rsidR="00D32888" w:rsidRPr="00ED5AD0" w:rsidRDefault="00D32888" w:rsidP="00B34B13">
      <w:pPr>
        <w:shd w:val="clear" w:color="auto" w:fill="FFFFFF"/>
        <w:spacing w:before="120" w:after="300"/>
        <w:rPr>
          <w:rFonts w:cs="Arial"/>
          <w:color w:val="0B0C0C"/>
          <w:szCs w:val="24"/>
          <w:lang w:eastAsia="en-GB"/>
        </w:rPr>
      </w:pPr>
      <w:r w:rsidRPr="00ED5AD0">
        <w:rPr>
          <w:rFonts w:cs="Arial"/>
          <w:color w:val="0B0C0C"/>
          <w:szCs w:val="24"/>
          <w:lang w:eastAsia="en-GB"/>
        </w:rPr>
        <w:t>5.9 Regulation 10 of the Accounts and Audit Regulations 2015 require authorities to publish an annual statement of accounts, governance statement and narrative statement. As well as following existing guidance</w:t>
      </w:r>
      <w:hyperlink r:id="rId26" w:anchor="fn:5" w:history="1">
        <w:r w:rsidRPr="00ED5AD0">
          <w:rPr>
            <w:rFonts w:cs="Arial"/>
            <w:color w:val="1D70B8"/>
            <w:szCs w:val="24"/>
            <w:u w:val="single"/>
            <w:vertAlign w:val="superscript"/>
            <w:lang w:eastAsia="en-GB"/>
          </w:rPr>
          <w:t>[footnote 5]</w:t>
        </w:r>
      </w:hyperlink>
      <w:r w:rsidRPr="00ED5AD0">
        <w:rPr>
          <w:rFonts w:cs="Arial"/>
          <w:color w:val="0B0C0C"/>
          <w:szCs w:val="24"/>
          <w:lang w:eastAsia="en-GB"/>
        </w:rPr>
        <w:t> on reporting exit payments, local authorities should also disclose in their annual accounts all severance payments, pension fund strain costs and other special severance payments made in consequence of termination of employment or loss of office (but excluding payments on death or ill-health retirement). Apart from where otherwise required by law, reporting may be anonymised to comply with data protection requirements.</w:t>
      </w:r>
    </w:p>
    <w:p w14:paraId="415AAC73" w14:textId="77777777" w:rsidR="00D32888" w:rsidRPr="00ED5AD0" w:rsidRDefault="00D32888" w:rsidP="00B34B13">
      <w:pPr>
        <w:shd w:val="clear" w:color="auto" w:fill="FFFFFF"/>
        <w:spacing w:before="480"/>
        <w:outlineLvl w:val="1"/>
        <w:rPr>
          <w:rFonts w:cs="Arial"/>
          <w:b/>
          <w:bCs/>
          <w:color w:val="0B0C0C"/>
          <w:szCs w:val="24"/>
          <w:lang w:eastAsia="en-GB"/>
        </w:rPr>
      </w:pPr>
      <w:r w:rsidRPr="00ED5AD0">
        <w:rPr>
          <w:rFonts w:cs="Arial"/>
          <w:b/>
          <w:bCs/>
          <w:color w:val="0B0C0C"/>
          <w:szCs w:val="24"/>
          <w:lang w:eastAsia="en-GB"/>
        </w:rPr>
        <w:t>List of bodies this guidance applies to</w:t>
      </w:r>
    </w:p>
    <w:p w14:paraId="4E969570"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An English local authority, including:</w:t>
      </w:r>
    </w:p>
    <w:p w14:paraId="01EFD0F1" w14:textId="77777777" w:rsidR="00D32888" w:rsidRPr="00ED5AD0" w:rsidRDefault="00D32888" w:rsidP="00D32888">
      <w:pPr>
        <w:numPr>
          <w:ilvl w:val="1"/>
          <w:numId w:val="50"/>
        </w:numPr>
        <w:shd w:val="clear" w:color="auto" w:fill="FFFFFF"/>
        <w:spacing w:after="75"/>
        <w:ind w:left="600"/>
        <w:rPr>
          <w:rFonts w:cs="Arial"/>
          <w:color w:val="0B0C0C"/>
          <w:szCs w:val="24"/>
          <w:lang w:eastAsia="en-GB"/>
        </w:rPr>
      </w:pPr>
      <w:r w:rsidRPr="00ED5AD0">
        <w:rPr>
          <w:rFonts w:cs="Arial"/>
          <w:color w:val="0B0C0C"/>
          <w:szCs w:val="24"/>
          <w:lang w:eastAsia="en-GB"/>
        </w:rPr>
        <w:t>a county council in England, a district council or a London borough council</w:t>
      </w:r>
    </w:p>
    <w:p w14:paraId="682F6C90" w14:textId="77777777" w:rsidR="00D32888" w:rsidRPr="00ED5AD0" w:rsidRDefault="00D32888" w:rsidP="00D32888">
      <w:pPr>
        <w:numPr>
          <w:ilvl w:val="1"/>
          <w:numId w:val="50"/>
        </w:numPr>
        <w:shd w:val="clear" w:color="auto" w:fill="FFFFFF"/>
        <w:spacing w:after="75"/>
        <w:ind w:left="600"/>
        <w:rPr>
          <w:rFonts w:cs="Arial"/>
          <w:color w:val="0B0C0C"/>
          <w:szCs w:val="24"/>
          <w:lang w:eastAsia="en-GB"/>
        </w:rPr>
      </w:pPr>
      <w:r w:rsidRPr="00ED5AD0">
        <w:rPr>
          <w:rFonts w:cs="Arial"/>
          <w:color w:val="0B0C0C"/>
          <w:szCs w:val="24"/>
          <w:lang w:eastAsia="en-GB"/>
        </w:rPr>
        <w:t>the Council of the Isles of Scilly</w:t>
      </w:r>
    </w:p>
    <w:p w14:paraId="7E64C74C" w14:textId="77777777" w:rsidR="00D32888" w:rsidRPr="00ED5AD0" w:rsidRDefault="00D32888" w:rsidP="00D32888">
      <w:pPr>
        <w:numPr>
          <w:ilvl w:val="1"/>
          <w:numId w:val="50"/>
        </w:numPr>
        <w:shd w:val="clear" w:color="auto" w:fill="FFFFFF"/>
        <w:spacing w:after="75"/>
        <w:ind w:left="600"/>
        <w:rPr>
          <w:rFonts w:cs="Arial"/>
          <w:color w:val="0B0C0C"/>
          <w:szCs w:val="24"/>
          <w:lang w:eastAsia="en-GB"/>
        </w:rPr>
      </w:pPr>
      <w:r w:rsidRPr="00ED5AD0">
        <w:rPr>
          <w:rFonts w:cs="Arial"/>
          <w:color w:val="0B0C0C"/>
          <w:szCs w:val="24"/>
          <w:lang w:eastAsia="en-GB"/>
        </w:rPr>
        <w:t>the Common Council of the City of London in its capacity as a local authority</w:t>
      </w:r>
    </w:p>
    <w:p w14:paraId="7B3EB088" w14:textId="77777777" w:rsidR="00D32888" w:rsidRPr="00ED5AD0" w:rsidRDefault="00D32888" w:rsidP="00D32888">
      <w:pPr>
        <w:numPr>
          <w:ilvl w:val="1"/>
          <w:numId w:val="50"/>
        </w:numPr>
        <w:shd w:val="clear" w:color="auto" w:fill="FFFFFF"/>
        <w:spacing w:after="75"/>
        <w:ind w:left="600"/>
        <w:rPr>
          <w:rFonts w:cs="Arial"/>
          <w:color w:val="0B0C0C"/>
          <w:szCs w:val="24"/>
          <w:lang w:eastAsia="en-GB"/>
        </w:rPr>
      </w:pPr>
      <w:r w:rsidRPr="00ED5AD0">
        <w:rPr>
          <w:rFonts w:cs="Arial"/>
          <w:color w:val="0B0C0C"/>
          <w:szCs w:val="24"/>
          <w:lang w:eastAsia="en-GB"/>
        </w:rPr>
        <w:t xml:space="preserve">the Greater London Authority so far as it exercises its functions through the </w:t>
      </w:r>
      <w:proofErr w:type="gramStart"/>
      <w:r w:rsidRPr="00ED5AD0">
        <w:rPr>
          <w:rFonts w:cs="Arial"/>
          <w:color w:val="0B0C0C"/>
          <w:szCs w:val="24"/>
          <w:lang w:eastAsia="en-GB"/>
        </w:rPr>
        <w:t>Mayor</w:t>
      </w:r>
      <w:proofErr w:type="gramEnd"/>
    </w:p>
    <w:p w14:paraId="2F075069"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 National Park authority for a National Park in England</w:t>
      </w:r>
    </w:p>
    <w:p w14:paraId="46A4A17D"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The Broads Authority</w:t>
      </w:r>
    </w:p>
    <w:p w14:paraId="34D40DFB"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The Common Council of the City of London in its capacity as a police authority</w:t>
      </w:r>
    </w:p>
    <w:p w14:paraId="46291A4B"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 fire and rescue authority constituted by a scheme under </w:t>
      </w:r>
      <w:hyperlink r:id="rId27" w:history="1">
        <w:r w:rsidRPr="00ED5AD0">
          <w:rPr>
            <w:rFonts w:cs="Arial"/>
            <w:color w:val="1D70B8"/>
            <w:szCs w:val="24"/>
            <w:u w:val="single"/>
            <w:lang w:eastAsia="en-GB"/>
          </w:rPr>
          <w:t>section 2 of the Fire and Rescue Services Act 2004</w:t>
        </w:r>
      </w:hyperlink>
      <w:r w:rsidRPr="00ED5AD0">
        <w:rPr>
          <w:rFonts w:cs="Arial"/>
          <w:color w:val="0B0C0C"/>
          <w:szCs w:val="24"/>
          <w:lang w:eastAsia="en-GB"/>
        </w:rPr>
        <w:t> or a scheme to which section 4 of that Act applies, and a metropolitan county fire and rescue authority in England</w:t>
      </w:r>
    </w:p>
    <w:p w14:paraId="31E28D5B"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The London Fire Commissioner</w:t>
      </w:r>
    </w:p>
    <w:p w14:paraId="5B55BB4B"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An authority established under </w:t>
      </w:r>
      <w:hyperlink r:id="rId28" w:history="1">
        <w:r w:rsidRPr="00ED5AD0">
          <w:rPr>
            <w:rFonts w:cs="Arial"/>
            <w:color w:val="1D70B8"/>
            <w:szCs w:val="24"/>
            <w:u w:val="single"/>
            <w:lang w:eastAsia="en-GB"/>
          </w:rPr>
          <w:t>section 10 of the Local Government Act 1985 (waste disposal authorities)</w:t>
        </w:r>
      </w:hyperlink>
    </w:p>
    <w:p w14:paraId="02FF00EB"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An Integrated Transport Authority for an integrated transport area in England</w:t>
      </w:r>
    </w:p>
    <w:p w14:paraId="0BD2F497"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An economic prosperity board established under </w:t>
      </w:r>
      <w:hyperlink r:id="rId29" w:history="1">
        <w:r w:rsidRPr="00ED5AD0">
          <w:rPr>
            <w:rFonts w:cs="Arial"/>
            <w:color w:val="1D70B8"/>
            <w:szCs w:val="24"/>
            <w:u w:val="single"/>
            <w:lang w:eastAsia="en-GB"/>
          </w:rPr>
          <w:t>section 88 of the Local Democracy, Economic Development and Construction Act 2009</w:t>
        </w:r>
      </w:hyperlink>
    </w:p>
    <w:p w14:paraId="36FE07B2"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 combined authority established under </w:t>
      </w:r>
      <w:hyperlink r:id="rId30" w:history="1">
        <w:r w:rsidRPr="00ED5AD0">
          <w:rPr>
            <w:rFonts w:cs="Arial"/>
            <w:color w:val="1D70B8"/>
            <w:szCs w:val="24"/>
            <w:u w:val="single"/>
            <w:lang w:eastAsia="en-GB"/>
          </w:rPr>
          <w:t>section 103 of that Act</w:t>
        </w:r>
      </w:hyperlink>
    </w:p>
    <w:p w14:paraId="4A7A0308" w14:textId="77777777"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A sub-national transport body established under </w:t>
      </w:r>
      <w:hyperlink r:id="rId31" w:history="1">
        <w:r w:rsidRPr="00ED5AD0">
          <w:rPr>
            <w:rFonts w:cs="Arial"/>
            <w:color w:val="1D70B8"/>
            <w:szCs w:val="24"/>
            <w:u w:val="single"/>
            <w:lang w:eastAsia="en-GB"/>
          </w:rPr>
          <w:t>section 102E of the Local Transport Act 2008</w:t>
        </w:r>
      </w:hyperlink>
    </w:p>
    <w:p w14:paraId="45D3307C" w14:textId="64357995" w:rsidR="00D32888" w:rsidRPr="00ED5AD0" w:rsidRDefault="00D32888" w:rsidP="00D32888">
      <w:pPr>
        <w:numPr>
          <w:ilvl w:val="0"/>
          <w:numId w:val="50"/>
        </w:numPr>
        <w:shd w:val="clear" w:color="auto" w:fill="FFFFFF"/>
        <w:spacing w:after="75"/>
        <w:ind w:left="300"/>
        <w:rPr>
          <w:rFonts w:cs="Arial"/>
          <w:color w:val="0B0C0C"/>
          <w:szCs w:val="24"/>
          <w:lang w:eastAsia="en-GB"/>
        </w:rPr>
      </w:pPr>
      <w:r w:rsidRPr="00ED5AD0">
        <w:rPr>
          <w:rFonts w:cs="Arial"/>
          <w:color w:val="0B0C0C"/>
          <w:szCs w:val="24"/>
          <w:lang w:eastAsia="en-GB"/>
        </w:rPr>
        <w:t>Transport for London</w:t>
      </w:r>
    </w:p>
    <w:p w14:paraId="3878CFCA" w14:textId="54B2C482" w:rsidR="00B34B13" w:rsidRPr="00ED5AD0" w:rsidRDefault="00B34B13" w:rsidP="00B34B13">
      <w:pPr>
        <w:shd w:val="clear" w:color="auto" w:fill="FFFFFF"/>
        <w:spacing w:after="75"/>
        <w:ind w:left="300"/>
        <w:rPr>
          <w:rFonts w:cs="Arial"/>
          <w:color w:val="0B0C0C"/>
          <w:szCs w:val="24"/>
          <w:lang w:eastAsia="en-GB"/>
        </w:rPr>
      </w:pPr>
    </w:p>
    <w:p w14:paraId="692989F6" w14:textId="53A5AFD6" w:rsidR="00B34B13" w:rsidRPr="00ED5AD0" w:rsidRDefault="00B34B13" w:rsidP="00B34B13">
      <w:pPr>
        <w:shd w:val="clear" w:color="auto" w:fill="FFFFFF"/>
        <w:spacing w:after="75"/>
        <w:ind w:left="300"/>
        <w:rPr>
          <w:rFonts w:cs="Arial"/>
          <w:color w:val="0B0C0C"/>
          <w:szCs w:val="24"/>
          <w:lang w:eastAsia="en-GB"/>
        </w:rPr>
      </w:pPr>
      <w:r w:rsidRPr="00ED5AD0">
        <w:rPr>
          <w:rFonts w:cs="Arial"/>
          <w:color w:val="0B0C0C"/>
          <w:szCs w:val="24"/>
          <w:lang w:eastAsia="en-GB"/>
        </w:rPr>
        <w:t>Footnotes</w:t>
      </w:r>
    </w:p>
    <w:p w14:paraId="51F7D213" w14:textId="77777777" w:rsidR="00D32888" w:rsidRPr="00ED5AD0" w:rsidRDefault="00D32888" w:rsidP="00D32888">
      <w:pPr>
        <w:numPr>
          <w:ilvl w:val="0"/>
          <w:numId w:val="51"/>
        </w:numPr>
        <w:shd w:val="clear" w:color="auto" w:fill="FFFFFF"/>
        <w:spacing w:after="150"/>
        <w:ind w:left="300"/>
        <w:rPr>
          <w:rFonts w:cs="Arial"/>
          <w:color w:val="0B0C0C"/>
          <w:szCs w:val="24"/>
          <w:lang w:eastAsia="en-GB"/>
        </w:rPr>
      </w:pPr>
      <w:r w:rsidRPr="00ED5AD0">
        <w:rPr>
          <w:rFonts w:cs="Arial"/>
          <w:color w:val="0B0C0C"/>
          <w:szCs w:val="24"/>
          <w:lang w:eastAsia="en-GB"/>
        </w:rPr>
        <w:t xml:space="preserve">In Re </w:t>
      </w:r>
      <w:proofErr w:type="spellStart"/>
      <w:r w:rsidRPr="00ED5AD0">
        <w:rPr>
          <w:rFonts w:cs="Arial"/>
          <w:color w:val="0B0C0C"/>
          <w:szCs w:val="24"/>
          <w:lang w:eastAsia="en-GB"/>
        </w:rPr>
        <w:t>Hurle</w:t>
      </w:r>
      <w:proofErr w:type="spellEnd"/>
      <w:r w:rsidRPr="00ED5AD0">
        <w:rPr>
          <w:rFonts w:cs="Arial"/>
          <w:color w:val="0B0C0C"/>
          <w:szCs w:val="24"/>
          <w:lang w:eastAsia="en-GB"/>
        </w:rPr>
        <w:t>-Hobbs’s Decision (1944) 1 All E.R. 249. </w:t>
      </w:r>
      <w:hyperlink r:id="rId32" w:anchor="fnref:1" w:history="1">
        <w:r w:rsidRPr="00ED5AD0">
          <w:rPr>
            <w:rFonts w:ascii="Cambria Math" w:hAnsi="Cambria Math" w:cs="Cambria Math"/>
            <w:color w:val="1D70B8"/>
            <w:szCs w:val="24"/>
            <w:u w:val="single"/>
            <w:lang w:eastAsia="en-GB"/>
          </w:rPr>
          <w:t>↩</w:t>
        </w:r>
      </w:hyperlink>
    </w:p>
    <w:p w14:paraId="2B42F241" w14:textId="1DF92E89" w:rsidR="00D32888" w:rsidRPr="00ED5AD0" w:rsidRDefault="00D32888" w:rsidP="00D32888">
      <w:pPr>
        <w:numPr>
          <w:ilvl w:val="0"/>
          <w:numId w:val="51"/>
        </w:numPr>
        <w:shd w:val="clear" w:color="auto" w:fill="FFFFFF"/>
        <w:spacing w:before="150" w:after="150"/>
        <w:ind w:left="300"/>
        <w:rPr>
          <w:rFonts w:cs="Arial"/>
          <w:color w:val="0B0C0C"/>
          <w:szCs w:val="24"/>
          <w:lang w:eastAsia="en-GB"/>
        </w:rPr>
      </w:pPr>
      <w:r w:rsidRPr="00ED5AD0">
        <w:rPr>
          <w:rFonts w:cs="Arial"/>
          <w:color w:val="0B0C0C"/>
          <w:szCs w:val="24"/>
          <w:lang w:eastAsia="en-GB"/>
        </w:rPr>
        <w:t>Under the Employment Rights Act 1996 employees need two years</w:t>
      </w:r>
      <w:r w:rsidR="00B34B13" w:rsidRPr="00ED5AD0">
        <w:rPr>
          <w:rFonts w:cs="Arial"/>
          <w:color w:val="0B0C0C"/>
          <w:szCs w:val="24"/>
          <w:lang w:eastAsia="en-GB"/>
        </w:rPr>
        <w:t>’</w:t>
      </w:r>
      <w:r w:rsidRPr="00ED5AD0">
        <w:rPr>
          <w:rFonts w:cs="Arial"/>
          <w:color w:val="0B0C0C"/>
          <w:szCs w:val="24"/>
          <w:lang w:eastAsia="en-GB"/>
        </w:rPr>
        <w:t xml:space="preserve"> service with their current or an “associated employer” to qualify for a redundancy payment. The purpose of the Redundancy Payments (Continuity of Employment in Local Government, etc.) (Modification) Order 1999, as amended, is to provide a statutory list of ‘associated employers’ for the purposes of redundancy payments. </w:t>
      </w:r>
      <w:r w:rsidRPr="00ED5AD0">
        <w:rPr>
          <w:rFonts w:cs="Arial"/>
          <w:color w:val="0B0C0C"/>
          <w:szCs w:val="24"/>
          <w:lang w:eastAsia="en-GB"/>
        </w:rPr>
        <w:lastRenderedPageBreak/>
        <w:t>The list set out in the Order includes all local authorities as well as various other, but not all, other local public service providers. </w:t>
      </w:r>
      <w:hyperlink r:id="rId33" w:anchor="fnref:2" w:history="1">
        <w:r w:rsidRPr="00ED5AD0">
          <w:rPr>
            <w:rFonts w:ascii="Cambria Math" w:hAnsi="Cambria Math" w:cs="Cambria Math"/>
            <w:color w:val="1D70B8"/>
            <w:szCs w:val="24"/>
            <w:u w:val="single"/>
            <w:lang w:eastAsia="en-GB"/>
          </w:rPr>
          <w:t>↩</w:t>
        </w:r>
      </w:hyperlink>
    </w:p>
    <w:p w14:paraId="425468CD" w14:textId="77777777" w:rsidR="00D32888" w:rsidRPr="00ED5AD0" w:rsidRDefault="00D32888" w:rsidP="00D32888">
      <w:pPr>
        <w:numPr>
          <w:ilvl w:val="0"/>
          <w:numId w:val="51"/>
        </w:numPr>
        <w:shd w:val="clear" w:color="auto" w:fill="FFFFFF"/>
        <w:spacing w:before="150" w:after="150"/>
        <w:ind w:left="300"/>
        <w:rPr>
          <w:rFonts w:cs="Arial"/>
          <w:color w:val="0B0C0C"/>
          <w:szCs w:val="24"/>
          <w:lang w:eastAsia="en-GB"/>
        </w:rPr>
      </w:pPr>
      <w:hyperlink r:id="rId34" w:history="1">
        <w:r w:rsidRPr="00ED5AD0">
          <w:rPr>
            <w:rFonts w:cs="Arial"/>
            <w:color w:val="1D70B8"/>
            <w:szCs w:val="24"/>
            <w:u w:val="single"/>
            <w:lang w:eastAsia="en-GB"/>
          </w:rPr>
          <w:t>Local government transparency code 2015</w:t>
        </w:r>
      </w:hyperlink>
      <w:r w:rsidRPr="00ED5AD0">
        <w:rPr>
          <w:rFonts w:cs="Arial"/>
          <w:color w:val="0B0C0C"/>
          <w:szCs w:val="24"/>
          <w:lang w:eastAsia="en-GB"/>
        </w:rPr>
        <w:t>. </w:t>
      </w:r>
      <w:hyperlink r:id="rId35" w:anchor="fnref:3" w:history="1">
        <w:r w:rsidRPr="00ED5AD0">
          <w:rPr>
            <w:rFonts w:ascii="Cambria Math" w:hAnsi="Cambria Math" w:cs="Cambria Math"/>
            <w:color w:val="1D70B8"/>
            <w:szCs w:val="24"/>
            <w:u w:val="single"/>
            <w:lang w:eastAsia="en-GB"/>
          </w:rPr>
          <w:t>↩</w:t>
        </w:r>
      </w:hyperlink>
    </w:p>
    <w:p w14:paraId="3B455B5C" w14:textId="77777777" w:rsidR="00D32888" w:rsidRPr="00ED5AD0" w:rsidRDefault="00D32888" w:rsidP="00D32888">
      <w:pPr>
        <w:numPr>
          <w:ilvl w:val="0"/>
          <w:numId w:val="51"/>
        </w:numPr>
        <w:shd w:val="clear" w:color="auto" w:fill="FFFFFF"/>
        <w:spacing w:before="150" w:after="150"/>
        <w:ind w:left="300"/>
        <w:rPr>
          <w:rFonts w:cs="Arial"/>
          <w:color w:val="0B0C0C"/>
          <w:szCs w:val="24"/>
          <w:lang w:eastAsia="en-GB"/>
        </w:rPr>
      </w:pPr>
      <w:hyperlink r:id="rId36" w:history="1">
        <w:r w:rsidRPr="00ED5AD0">
          <w:rPr>
            <w:rFonts w:cs="Arial"/>
            <w:color w:val="1D70B8"/>
            <w:szCs w:val="24"/>
            <w:u w:val="single"/>
            <w:lang w:eastAsia="en-GB"/>
          </w:rPr>
          <w:t>Openness and accountability in local pay: guidance under section 40 of the Localism Act 2011</w:t>
        </w:r>
      </w:hyperlink>
      <w:r w:rsidRPr="00ED5AD0">
        <w:rPr>
          <w:rFonts w:cs="Arial"/>
          <w:color w:val="0B0C0C"/>
          <w:szCs w:val="24"/>
          <w:lang w:eastAsia="en-GB"/>
        </w:rPr>
        <w:t>. </w:t>
      </w:r>
      <w:hyperlink r:id="rId37" w:anchor="fnref:4" w:history="1">
        <w:r w:rsidRPr="00ED5AD0">
          <w:rPr>
            <w:rFonts w:ascii="Cambria Math" w:hAnsi="Cambria Math" w:cs="Cambria Math"/>
            <w:color w:val="1D70B8"/>
            <w:szCs w:val="24"/>
            <w:u w:val="single"/>
            <w:lang w:eastAsia="en-GB"/>
          </w:rPr>
          <w:t>↩</w:t>
        </w:r>
      </w:hyperlink>
    </w:p>
    <w:p w14:paraId="6ECEBEEC" w14:textId="77777777" w:rsidR="00D32888" w:rsidRPr="00ED5AD0" w:rsidRDefault="00D32888" w:rsidP="00D32888">
      <w:pPr>
        <w:numPr>
          <w:ilvl w:val="0"/>
          <w:numId w:val="51"/>
        </w:numPr>
        <w:shd w:val="clear" w:color="auto" w:fill="FFFFFF"/>
        <w:spacing w:before="150" w:after="150"/>
        <w:ind w:left="300"/>
        <w:rPr>
          <w:rFonts w:cs="Arial"/>
          <w:color w:val="0B0C0C"/>
          <w:szCs w:val="24"/>
          <w:lang w:eastAsia="en-GB"/>
        </w:rPr>
      </w:pPr>
      <w:r w:rsidRPr="00ED5AD0">
        <w:rPr>
          <w:rFonts w:cs="Arial"/>
          <w:color w:val="0B0C0C"/>
          <w:szCs w:val="24"/>
          <w:lang w:eastAsia="en-GB"/>
        </w:rPr>
        <w:t>CIPFA, Code of Practice on Local Authority Accounting in the United Kingdom 2020/21. </w:t>
      </w:r>
      <w:hyperlink r:id="rId38" w:anchor="fnref:5" w:history="1">
        <w:r w:rsidRPr="00ED5AD0">
          <w:rPr>
            <w:rFonts w:ascii="Cambria Math" w:hAnsi="Cambria Math" w:cs="Cambria Math"/>
            <w:color w:val="1D70B8"/>
            <w:szCs w:val="24"/>
            <w:u w:val="single"/>
            <w:lang w:eastAsia="en-GB"/>
          </w:rPr>
          <w:t>↩</w:t>
        </w:r>
      </w:hyperlink>
    </w:p>
    <w:p w14:paraId="0C7F5029" w14:textId="77777777" w:rsidR="00D32888" w:rsidRPr="00ED5AD0" w:rsidRDefault="00D32888" w:rsidP="00D32888">
      <w:pPr>
        <w:widowControl w:val="0"/>
        <w:rPr>
          <w:rFonts w:cs="Arial"/>
          <w:bCs/>
          <w:snapToGrid w:val="0"/>
          <w:szCs w:val="24"/>
        </w:rPr>
      </w:pPr>
    </w:p>
    <w:sectPr w:rsidR="00D32888" w:rsidRPr="00ED5AD0" w:rsidSect="0049013E">
      <w:pgSz w:w="11906" w:h="16838"/>
      <w:pgMar w:top="992" w:right="1440" w:bottom="1440" w:left="1440" w:header="289"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Jennifer Lovett" w:date="2024-11-09T22:18:00Z" w:initials="JL">
    <w:p w14:paraId="64C16937" w14:textId="3067EB6B" w:rsidR="009F7FF3" w:rsidRDefault="009F7FF3" w:rsidP="009F7FF3">
      <w:pPr>
        <w:pStyle w:val="CommentText"/>
      </w:pPr>
      <w:r>
        <w:rPr>
          <w:rStyle w:val="CommentReference"/>
        </w:rPr>
        <w:annotationRef/>
      </w:r>
      <w:r>
        <w:t>Where is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C169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DD1DA4" w16cex:dateUtc="2024-11-09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C16937" w16cid:durableId="6EDD1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326CA" w14:textId="77777777" w:rsidR="008D7680" w:rsidRDefault="008D7680" w:rsidP="005744FB">
      <w:r>
        <w:separator/>
      </w:r>
    </w:p>
  </w:endnote>
  <w:endnote w:type="continuationSeparator" w:id="0">
    <w:p w14:paraId="006085F0" w14:textId="77777777" w:rsidR="008D7680" w:rsidRDefault="008D7680" w:rsidP="0057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881F0" w14:textId="77777777" w:rsidR="008D7680" w:rsidRDefault="008D7680" w:rsidP="005744FB">
      <w:r>
        <w:separator/>
      </w:r>
    </w:p>
  </w:footnote>
  <w:footnote w:type="continuationSeparator" w:id="0">
    <w:p w14:paraId="3F1E6312" w14:textId="77777777" w:rsidR="008D7680" w:rsidRDefault="008D7680" w:rsidP="00574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D0C"/>
    <w:multiLevelType w:val="singleLevel"/>
    <w:tmpl w:val="3EE89A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32011"/>
    <w:multiLevelType w:val="singleLevel"/>
    <w:tmpl w:val="95C4E9B4"/>
    <w:lvl w:ilvl="0">
      <w:start w:val="6"/>
      <w:numFmt w:val="decimal"/>
      <w:lvlText w:val="%1."/>
      <w:lvlJc w:val="left"/>
      <w:pPr>
        <w:tabs>
          <w:tab w:val="num" w:pos="360"/>
        </w:tabs>
        <w:ind w:left="360" w:hanging="360"/>
      </w:pPr>
      <w:rPr>
        <w:rFonts w:hint="default"/>
      </w:rPr>
    </w:lvl>
  </w:abstractNum>
  <w:abstractNum w:abstractNumId="2" w15:restartNumberingAfterBreak="0">
    <w:nsid w:val="03893B67"/>
    <w:multiLevelType w:val="hybridMultilevel"/>
    <w:tmpl w:val="447CB8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623723"/>
    <w:multiLevelType w:val="hybridMultilevel"/>
    <w:tmpl w:val="E2DCD8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8EC7836"/>
    <w:multiLevelType w:val="hybridMultilevel"/>
    <w:tmpl w:val="4C9A02A6"/>
    <w:lvl w:ilvl="0" w:tplc="B0C89F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651D0"/>
    <w:multiLevelType w:val="hybridMultilevel"/>
    <w:tmpl w:val="04207D50"/>
    <w:lvl w:ilvl="0" w:tplc="F93E5E3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23C79"/>
    <w:multiLevelType w:val="hybridMultilevel"/>
    <w:tmpl w:val="70CCD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1368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3453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632A8C"/>
    <w:multiLevelType w:val="hybridMultilevel"/>
    <w:tmpl w:val="07EEA614"/>
    <w:lvl w:ilvl="0" w:tplc="04090001">
      <w:start w:val="1"/>
      <w:numFmt w:val="bullet"/>
      <w:lvlText w:val=""/>
      <w:lvlJc w:val="left"/>
      <w:pPr>
        <w:tabs>
          <w:tab w:val="num" w:pos="742"/>
        </w:tabs>
        <w:ind w:left="742" w:hanging="360"/>
      </w:pPr>
      <w:rPr>
        <w:rFonts w:ascii="Symbol" w:hAnsi="Symbol" w:hint="default"/>
      </w:rPr>
    </w:lvl>
    <w:lvl w:ilvl="1" w:tplc="04090003" w:tentative="1">
      <w:start w:val="1"/>
      <w:numFmt w:val="bullet"/>
      <w:lvlText w:val="o"/>
      <w:lvlJc w:val="left"/>
      <w:pPr>
        <w:tabs>
          <w:tab w:val="num" w:pos="1462"/>
        </w:tabs>
        <w:ind w:left="1462" w:hanging="360"/>
      </w:pPr>
      <w:rPr>
        <w:rFonts w:ascii="Courier New" w:hAnsi="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0" w15:restartNumberingAfterBreak="0">
    <w:nsid w:val="11C44607"/>
    <w:multiLevelType w:val="hybridMultilevel"/>
    <w:tmpl w:val="97E0E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043876"/>
    <w:multiLevelType w:val="hybridMultilevel"/>
    <w:tmpl w:val="517A3904"/>
    <w:lvl w:ilvl="0" w:tplc="81E236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75C8B"/>
    <w:multiLevelType w:val="hybridMultilevel"/>
    <w:tmpl w:val="13F88424"/>
    <w:lvl w:ilvl="0" w:tplc="BD5AE0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D49BC"/>
    <w:multiLevelType w:val="hybridMultilevel"/>
    <w:tmpl w:val="C9F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135DC"/>
    <w:multiLevelType w:val="hybridMultilevel"/>
    <w:tmpl w:val="137E154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22765"/>
    <w:multiLevelType w:val="hybridMultilevel"/>
    <w:tmpl w:val="8B1C1D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2C7E09A9"/>
    <w:multiLevelType w:val="hybridMultilevel"/>
    <w:tmpl w:val="A87C1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EF745D"/>
    <w:multiLevelType w:val="hybridMultilevel"/>
    <w:tmpl w:val="EA58BD2C"/>
    <w:lvl w:ilvl="0" w:tplc="F578949E">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1A67613"/>
    <w:multiLevelType w:val="hybridMultilevel"/>
    <w:tmpl w:val="048A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BB66D1"/>
    <w:multiLevelType w:val="hybridMultilevel"/>
    <w:tmpl w:val="4750248C"/>
    <w:lvl w:ilvl="0" w:tplc="A3C42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C4B0E"/>
    <w:multiLevelType w:val="hybridMultilevel"/>
    <w:tmpl w:val="E962D0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C3FBA"/>
    <w:multiLevelType w:val="hybridMultilevel"/>
    <w:tmpl w:val="067291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8F486C"/>
    <w:multiLevelType w:val="hybridMultilevel"/>
    <w:tmpl w:val="45F0553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3BBE2FA2"/>
    <w:multiLevelType w:val="multilevel"/>
    <w:tmpl w:val="20BE7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9201CF"/>
    <w:multiLevelType w:val="hybridMultilevel"/>
    <w:tmpl w:val="36E68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3E22FC"/>
    <w:multiLevelType w:val="multilevel"/>
    <w:tmpl w:val="CB2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5483B"/>
    <w:multiLevelType w:val="hybridMultilevel"/>
    <w:tmpl w:val="0F2A40B2"/>
    <w:lvl w:ilvl="0" w:tplc="4F0E5EF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83DD1"/>
    <w:multiLevelType w:val="hybridMultilevel"/>
    <w:tmpl w:val="47CE232A"/>
    <w:lvl w:ilvl="0" w:tplc="0B0412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0248FE"/>
    <w:multiLevelType w:val="hybridMultilevel"/>
    <w:tmpl w:val="E9D66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4A6A2E"/>
    <w:multiLevelType w:val="hybridMultilevel"/>
    <w:tmpl w:val="E578B376"/>
    <w:lvl w:ilvl="0" w:tplc="75C442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6D7F37"/>
    <w:multiLevelType w:val="hybridMultilevel"/>
    <w:tmpl w:val="6AEEA778"/>
    <w:lvl w:ilvl="0" w:tplc="B21C8E4C">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060952"/>
    <w:multiLevelType w:val="hybridMultilevel"/>
    <w:tmpl w:val="80A25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6F1DFB"/>
    <w:multiLevelType w:val="multilevel"/>
    <w:tmpl w:val="CE8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C53EDF"/>
    <w:multiLevelType w:val="multilevel"/>
    <w:tmpl w:val="84B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1724B2"/>
    <w:multiLevelType w:val="hybridMultilevel"/>
    <w:tmpl w:val="06AE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8778A"/>
    <w:multiLevelType w:val="hybridMultilevel"/>
    <w:tmpl w:val="720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955F6D"/>
    <w:multiLevelType w:val="multilevel"/>
    <w:tmpl w:val="54FE2C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BB90D2E"/>
    <w:multiLevelType w:val="multilevel"/>
    <w:tmpl w:val="AA76E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72426A"/>
    <w:multiLevelType w:val="hybridMultilevel"/>
    <w:tmpl w:val="58EA6A54"/>
    <w:lvl w:ilvl="0" w:tplc="9626C8B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6275D9"/>
    <w:multiLevelType w:val="hybridMultilevel"/>
    <w:tmpl w:val="160C48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FA744F7"/>
    <w:multiLevelType w:val="hybridMultilevel"/>
    <w:tmpl w:val="10E0C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461994"/>
    <w:multiLevelType w:val="multilevel"/>
    <w:tmpl w:val="E850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100046F"/>
    <w:multiLevelType w:val="hybridMultilevel"/>
    <w:tmpl w:val="B986FEB8"/>
    <w:lvl w:ilvl="0" w:tplc="5792FFF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41C47A1"/>
    <w:multiLevelType w:val="multilevel"/>
    <w:tmpl w:val="C78CFB8E"/>
    <w:lvl w:ilvl="0">
      <w:start w:val="3"/>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7C13313"/>
    <w:multiLevelType w:val="hybridMultilevel"/>
    <w:tmpl w:val="BDBC7F20"/>
    <w:lvl w:ilvl="0" w:tplc="EFE0E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CD3673"/>
    <w:multiLevelType w:val="multilevel"/>
    <w:tmpl w:val="1BFE3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6DAE7EDD"/>
    <w:multiLevelType w:val="hybridMultilevel"/>
    <w:tmpl w:val="8B3017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15:restartNumberingAfterBreak="0">
    <w:nsid w:val="6EC078A4"/>
    <w:multiLevelType w:val="hybridMultilevel"/>
    <w:tmpl w:val="09486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0B63EB1"/>
    <w:multiLevelType w:val="hybridMultilevel"/>
    <w:tmpl w:val="B3264D2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9" w15:restartNumberingAfterBreak="0">
    <w:nsid w:val="72241CD3"/>
    <w:multiLevelType w:val="multilevel"/>
    <w:tmpl w:val="9994735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3D16177"/>
    <w:multiLevelType w:val="hybridMultilevel"/>
    <w:tmpl w:val="B508A802"/>
    <w:lvl w:ilvl="0" w:tplc="0590DD12">
      <w:start w:val="4"/>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41231FE"/>
    <w:multiLevelType w:val="hybridMultilevel"/>
    <w:tmpl w:val="1C2C03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2" w15:restartNumberingAfterBreak="0">
    <w:nsid w:val="75DC5648"/>
    <w:multiLevelType w:val="hybridMultilevel"/>
    <w:tmpl w:val="8F6C8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817F41"/>
    <w:multiLevelType w:val="multilevel"/>
    <w:tmpl w:val="798A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823498"/>
    <w:multiLevelType w:val="singleLevel"/>
    <w:tmpl w:val="C5C227E6"/>
    <w:lvl w:ilvl="0">
      <w:start w:val="7"/>
      <w:numFmt w:val="decimal"/>
      <w:lvlText w:val="%1."/>
      <w:lvlJc w:val="left"/>
      <w:pPr>
        <w:tabs>
          <w:tab w:val="num" w:pos="360"/>
        </w:tabs>
        <w:ind w:left="360" w:hanging="360"/>
      </w:pPr>
    </w:lvl>
  </w:abstractNum>
  <w:abstractNum w:abstractNumId="55" w15:restartNumberingAfterBreak="0">
    <w:nsid w:val="785D58AE"/>
    <w:multiLevelType w:val="hybridMultilevel"/>
    <w:tmpl w:val="8574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FE7561"/>
    <w:multiLevelType w:val="hybridMultilevel"/>
    <w:tmpl w:val="913C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D701EC"/>
    <w:multiLevelType w:val="multilevel"/>
    <w:tmpl w:val="A70C2BD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96140920">
    <w:abstractNumId w:val="18"/>
  </w:num>
  <w:num w:numId="2" w16cid:durableId="300578206">
    <w:abstractNumId w:val="28"/>
  </w:num>
  <w:num w:numId="3" w16cid:durableId="663900788">
    <w:abstractNumId w:val="10"/>
  </w:num>
  <w:num w:numId="4" w16cid:durableId="194852281">
    <w:abstractNumId w:val="31"/>
  </w:num>
  <w:num w:numId="5" w16cid:durableId="1012999128">
    <w:abstractNumId w:val="39"/>
  </w:num>
  <w:num w:numId="6" w16cid:durableId="1007827796">
    <w:abstractNumId w:val="0"/>
  </w:num>
  <w:num w:numId="7" w16cid:durableId="475146602">
    <w:abstractNumId w:val="1"/>
  </w:num>
  <w:num w:numId="8" w16cid:durableId="1307246773">
    <w:abstractNumId w:val="7"/>
  </w:num>
  <w:num w:numId="9" w16cid:durableId="1361129642">
    <w:abstractNumId w:val="54"/>
  </w:num>
  <w:num w:numId="10" w16cid:durableId="614748926">
    <w:abstractNumId w:val="45"/>
  </w:num>
  <w:num w:numId="11" w16cid:durableId="1138034996">
    <w:abstractNumId w:val="43"/>
  </w:num>
  <w:num w:numId="12" w16cid:durableId="1813019408">
    <w:abstractNumId w:val="49"/>
  </w:num>
  <w:num w:numId="13" w16cid:durableId="821313382">
    <w:abstractNumId w:val="24"/>
  </w:num>
  <w:num w:numId="14" w16cid:durableId="1594128794">
    <w:abstractNumId w:val="16"/>
  </w:num>
  <w:num w:numId="15" w16cid:durableId="404307524">
    <w:abstractNumId w:val="8"/>
  </w:num>
  <w:num w:numId="16" w16cid:durableId="529953118">
    <w:abstractNumId w:val="36"/>
  </w:num>
  <w:num w:numId="17" w16cid:durableId="184176985">
    <w:abstractNumId w:val="17"/>
  </w:num>
  <w:num w:numId="18" w16cid:durableId="603273281">
    <w:abstractNumId w:val="6"/>
  </w:num>
  <w:num w:numId="19" w16cid:durableId="1166823263">
    <w:abstractNumId w:val="52"/>
  </w:num>
  <w:num w:numId="20" w16cid:durableId="542133163">
    <w:abstractNumId w:val="21"/>
  </w:num>
  <w:num w:numId="21" w16cid:durableId="1824273679">
    <w:abstractNumId w:val="14"/>
  </w:num>
  <w:num w:numId="22" w16cid:durableId="642589112">
    <w:abstractNumId w:val="9"/>
  </w:num>
  <w:num w:numId="23" w16cid:durableId="8414768">
    <w:abstractNumId w:val="56"/>
  </w:num>
  <w:num w:numId="24" w16cid:durableId="222109942">
    <w:abstractNumId w:val="57"/>
  </w:num>
  <w:num w:numId="25" w16cid:durableId="1353189848">
    <w:abstractNumId w:val="42"/>
  </w:num>
  <w:num w:numId="26" w16cid:durableId="708846512">
    <w:abstractNumId w:val="44"/>
  </w:num>
  <w:num w:numId="27" w16cid:durableId="67731252">
    <w:abstractNumId w:val="27"/>
  </w:num>
  <w:num w:numId="28" w16cid:durableId="1299805051">
    <w:abstractNumId w:val="13"/>
  </w:num>
  <w:num w:numId="29" w16cid:durableId="1772897616">
    <w:abstractNumId w:val="48"/>
  </w:num>
  <w:num w:numId="30" w16cid:durableId="1721130484">
    <w:abstractNumId w:val="3"/>
  </w:num>
  <w:num w:numId="31" w16cid:durableId="1120759960">
    <w:abstractNumId w:val="46"/>
  </w:num>
  <w:num w:numId="32" w16cid:durableId="203519264">
    <w:abstractNumId w:val="15"/>
  </w:num>
  <w:num w:numId="33" w16cid:durableId="168714133">
    <w:abstractNumId w:val="22"/>
  </w:num>
  <w:num w:numId="34" w16cid:durableId="1781073444">
    <w:abstractNumId w:val="51"/>
  </w:num>
  <w:num w:numId="35" w16cid:durableId="1902867071">
    <w:abstractNumId w:val="34"/>
  </w:num>
  <w:num w:numId="36" w16cid:durableId="1938639736">
    <w:abstractNumId w:val="38"/>
  </w:num>
  <w:num w:numId="37" w16cid:durableId="1830442485">
    <w:abstractNumId w:val="55"/>
  </w:num>
  <w:num w:numId="38" w16cid:durableId="40443625">
    <w:abstractNumId w:val="26"/>
  </w:num>
  <w:num w:numId="39" w16cid:durableId="202334179">
    <w:abstractNumId w:val="30"/>
  </w:num>
  <w:num w:numId="40" w16cid:durableId="1089623865">
    <w:abstractNumId w:val="20"/>
  </w:num>
  <w:num w:numId="41" w16cid:durableId="1033460980">
    <w:abstractNumId w:val="35"/>
  </w:num>
  <w:num w:numId="42" w16cid:durableId="537400591">
    <w:abstractNumId w:val="47"/>
  </w:num>
  <w:num w:numId="43" w16cid:durableId="1737900559">
    <w:abstractNumId w:val="40"/>
  </w:num>
  <w:num w:numId="44" w16cid:durableId="1776442684">
    <w:abstractNumId w:val="2"/>
  </w:num>
  <w:num w:numId="45" w16cid:durableId="1939219612">
    <w:abstractNumId w:val="53"/>
  </w:num>
  <w:num w:numId="46" w16cid:durableId="1629235990">
    <w:abstractNumId w:val="25"/>
  </w:num>
  <w:num w:numId="47" w16cid:durableId="1853572184">
    <w:abstractNumId w:val="32"/>
  </w:num>
  <w:num w:numId="48" w16cid:durableId="1958947058">
    <w:abstractNumId w:val="41"/>
  </w:num>
  <w:num w:numId="49" w16cid:durableId="960569796">
    <w:abstractNumId w:val="33"/>
  </w:num>
  <w:num w:numId="50" w16cid:durableId="1617327617">
    <w:abstractNumId w:val="37"/>
  </w:num>
  <w:num w:numId="51" w16cid:durableId="1184244916">
    <w:abstractNumId w:val="23"/>
  </w:num>
  <w:num w:numId="52" w16cid:durableId="525142779">
    <w:abstractNumId w:val="12"/>
  </w:num>
  <w:num w:numId="53" w16cid:durableId="1470242805">
    <w:abstractNumId w:val="29"/>
  </w:num>
  <w:num w:numId="54" w16cid:durableId="1404454524">
    <w:abstractNumId w:val="19"/>
  </w:num>
  <w:num w:numId="55" w16cid:durableId="806899201">
    <w:abstractNumId w:val="11"/>
  </w:num>
  <w:num w:numId="56" w16cid:durableId="810176380">
    <w:abstractNumId w:val="50"/>
  </w:num>
  <w:num w:numId="57" w16cid:durableId="986204947">
    <w:abstractNumId w:val="4"/>
  </w:num>
  <w:num w:numId="58" w16cid:durableId="1818650210">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Lovett">
    <w15:presenceInfo w15:providerId="AD" w15:userId="S::Jennifer.Lovett@gedling.gov.uk::d2bf3403-cc4b-4706-85b6-0a504246a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1C"/>
    <w:rsid w:val="00002F0B"/>
    <w:rsid w:val="0000337D"/>
    <w:rsid w:val="00007CAF"/>
    <w:rsid w:val="00011498"/>
    <w:rsid w:val="00015A72"/>
    <w:rsid w:val="0002025E"/>
    <w:rsid w:val="00021C22"/>
    <w:rsid w:val="00022877"/>
    <w:rsid w:val="00026DB9"/>
    <w:rsid w:val="00031870"/>
    <w:rsid w:val="0003276B"/>
    <w:rsid w:val="00033706"/>
    <w:rsid w:val="0003761C"/>
    <w:rsid w:val="00044276"/>
    <w:rsid w:val="00044331"/>
    <w:rsid w:val="000461E9"/>
    <w:rsid w:val="000473D7"/>
    <w:rsid w:val="0005155F"/>
    <w:rsid w:val="00053220"/>
    <w:rsid w:val="00054E37"/>
    <w:rsid w:val="000553E9"/>
    <w:rsid w:val="000563B4"/>
    <w:rsid w:val="00060F62"/>
    <w:rsid w:val="00061434"/>
    <w:rsid w:val="000658E6"/>
    <w:rsid w:val="000667C4"/>
    <w:rsid w:val="000674BC"/>
    <w:rsid w:val="000723F8"/>
    <w:rsid w:val="0007286B"/>
    <w:rsid w:val="00072F58"/>
    <w:rsid w:val="00074D88"/>
    <w:rsid w:val="000754E2"/>
    <w:rsid w:val="000778A7"/>
    <w:rsid w:val="00077EDD"/>
    <w:rsid w:val="000803C9"/>
    <w:rsid w:val="00080E1E"/>
    <w:rsid w:val="0008235A"/>
    <w:rsid w:val="00083034"/>
    <w:rsid w:val="000840AD"/>
    <w:rsid w:val="000842BC"/>
    <w:rsid w:val="0008464B"/>
    <w:rsid w:val="0008543F"/>
    <w:rsid w:val="00085FE4"/>
    <w:rsid w:val="00091F35"/>
    <w:rsid w:val="00094D75"/>
    <w:rsid w:val="00095C3E"/>
    <w:rsid w:val="000A34C2"/>
    <w:rsid w:val="000A429B"/>
    <w:rsid w:val="000A5E11"/>
    <w:rsid w:val="000A7185"/>
    <w:rsid w:val="000B2A9E"/>
    <w:rsid w:val="000B5E42"/>
    <w:rsid w:val="000B63A6"/>
    <w:rsid w:val="000B7EF4"/>
    <w:rsid w:val="000C07C6"/>
    <w:rsid w:val="000C0940"/>
    <w:rsid w:val="000C470C"/>
    <w:rsid w:val="000C5032"/>
    <w:rsid w:val="000D4257"/>
    <w:rsid w:val="000D6358"/>
    <w:rsid w:val="000E48ED"/>
    <w:rsid w:val="000E55C3"/>
    <w:rsid w:val="000E666B"/>
    <w:rsid w:val="000E765C"/>
    <w:rsid w:val="000E76FA"/>
    <w:rsid w:val="000F009A"/>
    <w:rsid w:val="000F1E59"/>
    <w:rsid w:val="000F23A8"/>
    <w:rsid w:val="000F3D4E"/>
    <w:rsid w:val="000F7C17"/>
    <w:rsid w:val="00100E38"/>
    <w:rsid w:val="00105DF8"/>
    <w:rsid w:val="001109B2"/>
    <w:rsid w:val="00110BFD"/>
    <w:rsid w:val="00110CFA"/>
    <w:rsid w:val="0011182C"/>
    <w:rsid w:val="00117780"/>
    <w:rsid w:val="001202A3"/>
    <w:rsid w:val="00120985"/>
    <w:rsid w:val="0012201C"/>
    <w:rsid w:val="001225BD"/>
    <w:rsid w:val="00125CCE"/>
    <w:rsid w:val="00125EFF"/>
    <w:rsid w:val="0012624A"/>
    <w:rsid w:val="00133530"/>
    <w:rsid w:val="00135C0D"/>
    <w:rsid w:val="00136030"/>
    <w:rsid w:val="0013700C"/>
    <w:rsid w:val="001379E1"/>
    <w:rsid w:val="001451EB"/>
    <w:rsid w:val="001453E0"/>
    <w:rsid w:val="00147368"/>
    <w:rsid w:val="00147629"/>
    <w:rsid w:val="00160799"/>
    <w:rsid w:val="00160E37"/>
    <w:rsid w:val="00161F91"/>
    <w:rsid w:val="00164A4A"/>
    <w:rsid w:val="00164E00"/>
    <w:rsid w:val="00166139"/>
    <w:rsid w:val="00172A9B"/>
    <w:rsid w:val="00172B3A"/>
    <w:rsid w:val="00175585"/>
    <w:rsid w:val="001829F5"/>
    <w:rsid w:val="00182C9F"/>
    <w:rsid w:val="00185A02"/>
    <w:rsid w:val="00191335"/>
    <w:rsid w:val="001916C9"/>
    <w:rsid w:val="00191E13"/>
    <w:rsid w:val="00192D78"/>
    <w:rsid w:val="0019479A"/>
    <w:rsid w:val="00197012"/>
    <w:rsid w:val="001A0B9A"/>
    <w:rsid w:val="001A57CF"/>
    <w:rsid w:val="001A5CBD"/>
    <w:rsid w:val="001B18B5"/>
    <w:rsid w:val="001B2328"/>
    <w:rsid w:val="001B7F1E"/>
    <w:rsid w:val="001C14F1"/>
    <w:rsid w:val="001C434F"/>
    <w:rsid w:val="001C4E3B"/>
    <w:rsid w:val="001C5055"/>
    <w:rsid w:val="001C6821"/>
    <w:rsid w:val="001C6A79"/>
    <w:rsid w:val="001C7D85"/>
    <w:rsid w:val="001D1023"/>
    <w:rsid w:val="001D241F"/>
    <w:rsid w:val="001D45DC"/>
    <w:rsid w:val="001D5EC9"/>
    <w:rsid w:val="001D723E"/>
    <w:rsid w:val="001D7F20"/>
    <w:rsid w:val="001E1CCB"/>
    <w:rsid w:val="001E20F4"/>
    <w:rsid w:val="001E599D"/>
    <w:rsid w:val="001E6DC9"/>
    <w:rsid w:val="001E7B95"/>
    <w:rsid w:val="001F01F1"/>
    <w:rsid w:val="001F4B18"/>
    <w:rsid w:val="001F5D9D"/>
    <w:rsid w:val="00200A15"/>
    <w:rsid w:val="00202BE0"/>
    <w:rsid w:val="00203557"/>
    <w:rsid w:val="00205742"/>
    <w:rsid w:val="00205DCD"/>
    <w:rsid w:val="0021065D"/>
    <w:rsid w:val="00213023"/>
    <w:rsid w:val="00213E31"/>
    <w:rsid w:val="00217DBC"/>
    <w:rsid w:val="00221898"/>
    <w:rsid w:val="00222CE1"/>
    <w:rsid w:val="00224337"/>
    <w:rsid w:val="002264FF"/>
    <w:rsid w:val="00230EE4"/>
    <w:rsid w:val="002320A7"/>
    <w:rsid w:val="00233169"/>
    <w:rsid w:val="00234B03"/>
    <w:rsid w:val="00240B0C"/>
    <w:rsid w:val="002419BE"/>
    <w:rsid w:val="002436F4"/>
    <w:rsid w:val="002466ED"/>
    <w:rsid w:val="00246D41"/>
    <w:rsid w:val="002477C8"/>
    <w:rsid w:val="002522EF"/>
    <w:rsid w:val="002530B9"/>
    <w:rsid w:val="00254368"/>
    <w:rsid w:val="00256A12"/>
    <w:rsid w:val="0025719B"/>
    <w:rsid w:val="00260933"/>
    <w:rsid w:val="00260CB2"/>
    <w:rsid w:val="00260E4B"/>
    <w:rsid w:val="0026190E"/>
    <w:rsid w:val="00264AEA"/>
    <w:rsid w:val="00265379"/>
    <w:rsid w:val="00273C8C"/>
    <w:rsid w:val="0027577E"/>
    <w:rsid w:val="00277E60"/>
    <w:rsid w:val="00282044"/>
    <w:rsid w:val="002824F7"/>
    <w:rsid w:val="0028265D"/>
    <w:rsid w:val="0028309C"/>
    <w:rsid w:val="00285D3F"/>
    <w:rsid w:val="0028688E"/>
    <w:rsid w:val="00292504"/>
    <w:rsid w:val="00292823"/>
    <w:rsid w:val="00293611"/>
    <w:rsid w:val="00293635"/>
    <w:rsid w:val="00295DA0"/>
    <w:rsid w:val="00296A34"/>
    <w:rsid w:val="00296C59"/>
    <w:rsid w:val="002A4970"/>
    <w:rsid w:val="002A50A9"/>
    <w:rsid w:val="002A63E9"/>
    <w:rsid w:val="002B3D5C"/>
    <w:rsid w:val="002B79C2"/>
    <w:rsid w:val="002B7EEB"/>
    <w:rsid w:val="002C12C4"/>
    <w:rsid w:val="002C1FCB"/>
    <w:rsid w:val="002C2E58"/>
    <w:rsid w:val="002C4201"/>
    <w:rsid w:val="002C433A"/>
    <w:rsid w:val="002C5693"/>
    <w:rsid w:val="002D11FA"/>
    <w:rsid w:val="002D1252"/>
    <w:rsid w:val="002D1923"/>
    <w:rsid w:val="002D25DD"/>
    <w:rsid w:val="002D3990"/>
    <w:rsid w:val="002D402D"/>
    <w:rsid w:val="002D446D"/>
    <w:rsid w:val="002D4F00"/>
    <w:rsid w:val="002D551B"/>
    <w:rsid w:val="002D672F"/>
    <w:rsid w:val="002E0108"/>
    <w:rsid w:val="002E24A1"/>
    <w:rsid w:val="002E2D6B"/>
    <w:rsid w:val="002E2E70"/>
    <w:rsid w:val="002E38B8"/>
    <w:rsid w:val="002E3F80"/>
    <w:rsid w:val="002E4929"/>
    <w:rsid w:val="002E5EFB"/>
    <w:rsid w:val="002E610F"/>
    <w:rsid w:val="002E77D1"/>
    <w:rsid w:val="002F6C8A"/>
    <w:rsid w:val="002F75D9"/>
    <w:rsid w:val="00301085"/>
    <w:rsid w:val="0030539D"/>
    <w:rsid w:val="00310CDA"/>
    <w:rsid w:val="003112A6"/>
    <w:rsid w:val="0031199F"/>
    <w:rsid w:val="00312656"/>
    <w:rsid w:val="0031746A"/>
    <w:rsid w:val="00320E77"/>
    <w:rsid w:val="00322C0E"/>
    <w:rsid w:val="00322E9F"/>
    <w:rsid w:val="003235BB"/>
    <w:rsid w:val="003255BB"/>
    <w:rsid w:val="003255CB"/>
    <w:rsid w:val="003260D8"/>
    <w:rsid w:val="0032749C"/>
    <w:rsid w:val="00331626"/>
    <w:rsid w:val="003316E6"/>
    <w:rsid w:val="00334AB2"/>
    <w:rsid w:val="003366BC"/>
    <w:rsid w:val="00336F7E"/>
    <w:rsid w:val="00337767"/>
    <w:rsid w:val="00343C78"/>
    <w:rsid w:val="00344723"/>
    <w:rsid w:val="00345EF5"/>
    <w:rsid w:val="00346D92"/>
    <w:rsid w:val="00347FC6"/>
    <w:rsid w:val="003548FD"/>
    <w:rsid w:val="00355872"/>
    <w:rsid w:val="00355A68"/>
    <w:rsid w:val="003579F1"/>
    <w:rsid w:val="00361BD3"/>
    <w:rsid w:val="00363004"/>
    <w:rsid w:val="003804CA"/>
    <w:rsid w:val="003805A4"/>
    <w:rsid w:val="003807FB"/>
    <w:rsid w:val="00382D18"/>
    <w:rsid w:val="003832DA"/>
    <w:rsid w:val="0038398D"/>
    <w:rsid w:val="003846FC"/>
    <w:rsid w:val="00386A0A"/>
    <w:rsid w:val="00387B8F"/>
    <w:rsid w:val="00387BD4"/>
    <w:rsid w:val="00391F42"/>
    <w:rsid w:val="00395F85"/>
    <w:rsid w:val="00396152"/>
    <w:rsid w:val="003A0E32"/>
    <w:rsid w:val="003A102C"/>
    <w:rsid w:val="003A1514"/>
    <w:rsid w:val="003A209D"/>
    <w:rsid w:val="003A3C2B"/>
    <w:rsid w:val="003A6EE8"/>
    <w:rsid w:val="003B3ABA"/>
    <w:rsid w:val="003B54DB"/>
    <w:rsid w:val="003B5EDD"/>
    <w:rsid w:val="003B7D67"/>
    <w:rsid w:val="003C04F4"/>
    <w:rsid w:val="003C05E8"/>
    <w:rsid w:val="003C3E7C"/>
    <w:rsid w:val="003C4157"/>
    <w:rsid w:val="003C766C"/>
    <w:rsid w:val="003C7E75"/>
    <w:rsid w:val="003D19FA"/>
    <w:rsid w:val="003D551D"/>
    <w:rsid w:val="003D79E6"/>
    <w:rsid w:val="003E01DC"/>
    <w:rsid w:val="003E24C0"/>
    <w:rsid w:val="003E3B3E"/>
    <w:rsid w:val="003E3E3A"/>
    <w:rsid w:val="003E7525"/>
    <w:rsid w:val="003E7AD2"/>
    <w:rsid w:val="003F2B15"/>
    <w:rsid w:val="003F5864"/>
    <w:rsid w:val="003F5FF6"/>
    <w:rsid w:val="0040354C"/>
    <w:rsid w:val="004039F4"/>
    <w:rsid w:val="00403A91"/>
    <w:rsid w:val="0040416F"/>
    <w:rsid w:val="004047A6"/>
    <w:rsid w:val="0040692F"/>
    <w:rsid w:val="00406EF3"/>
    <w:rsid w:val="004121C7"/>
    <w:rsid w:val="00415117"/>
    <w:rsid w:val="00415182"/>
    <w:rsid w:val="00415428"/>
    <w:rsid w:val="004161E2"/>
    <w:rsid w:val="0041665D"/>
    <w:rsid w:val="00416B55"/>
    <w:rsid w:val="0041744E"/>
    <w:rsid w:val="004200E4"/>
    <w:rsid w:val="00421155"/>
    <w:rsid w:val="0042290A"/>
    <w:rsid w:val="00424227"/>
    <w:rsid w:val="00424671"/>
    <w:rsid w:val="00426BC1"/>
    <w:rsid w:val="004323A4"/>
    <w:rsid w:val="00436291"/>
    <w:rsid w:val="00440298"/>
    <w:rsid w:val="00446877"/>
    <w:rsid w:val="004539B1"/>
    <w:rsid w:val="00456FA3"/>
    <w:rsid w:val="00464CF9"/>
    <w:rsid w:val="00470325"/>
    <w:rsid w:val="00470BFA"/>
    <w:rsid w:val="00472D17"/>
    <w:rsid w:val="00481EEA"/>
    <w:rsid w:val="00484C86"/>
    <w:rsid w:val="0048657F"/>
    <w:rsid w:val="0049013E"/>
    <w:rsid w:val="00490B80"/>
    <w:rsid w:val="0049282F"/>
    <w:rsid w:val="00494891"/>
    <w:rsid w:val="00494F44"/>
    <w:rsid w:val="00494FD9"/>
    <w:rsid w:val="00495BF0"/>
    <w:rsid w:val="004A1632"/>
    <w:rsid w:val="004A2E13"/>
    <w:rsid w:val="004A6204"/>
    <w:rsid w:val="004A67C1"/>
    <w:rsid w:val="004B1BB8"/>
    <w:rsid w:val="004B3445"/>
    <w:rsid w:val="004B3457"/>
    <w:rsid w:val="004B593A"/>
    <w:rsid w:val="004B63C4"/>
    <w:rsid w:val="004B7CEF"/>
    <w:rsid w:val="004C0085"/>
    <w:rsid w:val="004C1585"/>
    <w:rsid w:val="004C426E"/>
    <w:rsid w:val="004C6B0D"/>
    <w:rsid w:val="004D0501"/>
    <w:rsid w:val="004D14B5"/>
    <w:rsid w:val="004D45BF"/>
    <w:rsid w:val="004D4FD2"/>
    <w:rsid w:val="004D6173"/>
    <w:rsid w:val="004E2748"/>
    <w:rsid w:val="004E4B98"/>
    <w:rsid w:val="004E5DD9"/>
    <w:rsid w:val="004E6D14"/>
    <w:rsid w:val="004F40AA"/>
    <w:rsid w:val="004F4E8E"/>
    <w:rsid w:val="00501B39"/>
    <w:rsid w:val="0050238F"/>
    <w:rsid w:val="00503085"/>
    <w:rsid w:val="00504EAC"/>
    <w:rsid w:val="005102E4"/>
    <w:rsid w:val="005103EB"/>
    <w:rsid w:val="00515A8F"/>
    <w:rsid w:val="00520B64"/>
    <w:rsid w:val="0052121A"/>
    <w:rsid w:val="0052202B"/>
    <w:rsid w:val="0052247C"/>
    <w:rsid w:val="00522C4C"/>
    <w:rsid w:val="00522F18"/>
    <w:rsid w:val="00524685"/>
    <w:rsid w:val="00525C0B"/>
    <w:rsid w:val="00525E1F"/>
    <w:rsid w:val="00526164"/>
    <w:rsid w:val="0052624F"/>
    <w:rsid w:val="00527A64"/>
    <w:rsid w:val="00531569"/>
    <w:rsid w:val="00532A25"/>
    <w:rsid w:val="005334F5"/>
    <w:rsid w:val="005363EA"/>
    <w:rsid w:val="0054015A"/>
    <w:rsid w:val="00540ECE"/>
    <w:rsid w:val="00541B83"/>
    <w:rsid w:val="0054419C"/>
    <w:rsid w:val="005450B1"/>
    <w:rsid w:val="00547344"/>
    <w:rsid w:val="0054766C"/>
    <w:rsid w:val="00547C59"/>
    <w:rsid w:val="00550634"/>
    <w:rsid w:val="00551F34"/>
    <w:rsid w:val="00551FAB"/>
    <w:rsid w:val="00553C72"/>
    <w:rsid w:val="00554EBA"/>
    <w:rsid w:val="00555042"/>
    <w:rsid w:val="00557A57"/>
    <w:rsid w:val="00557E45"/>
    <w:rsid w:val="00557E85"/>
    <w:rsid w:val="005623DE"/>
    <w:rsid w:val="005668E5"/>
    <w:rsid w:val="00566BC0"/>
    <w:rsid w:val="005674DD"/>
    <w:rsid w:val="00570250"/>
    <w:rsid w:val="00570C15"/>
    <w:rsid w:val="00572BE4"/>
    <w:rsid w:val="00572FC3"/>
    <w:rsid w:val="005744FB"/>
    <w:rsid w:val="0058066F"/>
    <w:rsid w:val="00581587"/>
    <w:rsid w:val="00583ABF"/>
    <w:rsid w:val="00586BA4"/>
    <w:rsid w:val="005918BD"/>
    <w:rsid w:val="005953E9"/>
    <w:rsid w:val="005A12F2"/>
    <w:rsid w:val="005A43E0"/>
    <w:rsid w:val="005A599A"/>
    <w:rsid w:val="005A7F62"/>
    <w:rsid w:val="005B111A"/>
    <w:rsid w:val="005B4D50"/>
    <w:rsid w:val="005B7A48"/>
    <w:rsid w:val="005C1BE9"/>
    <w:rsid w:val="005C25F3"/>
    <w:rsid w:val="005C3372"/>
    <w:rsid w:val="005C4DCF"/>
    <w:rsid w:val="005C51FA"/>
    <w:rsid w:val="005C53BA"/>
    <w:rsid w:val="005C6B51"/>
    <w:rsid w:val="005D1E27"/>
    <w:rsid w:val="005D49F1"/>
    <w:rsid w:val="005D7BFA"/>
    <w:rsid w:val="005E0513"/>
    <w:rsid w:val="005E55BF"/>
    <w:rsid w:val="005E5B6D"/>
    <w:rsid w:val="005E63D3"/>
    <w:rsid w:val="005F2FE6"/>
    <w:rsid w:val="005F3710"/>
    <w:rsid w:val="0060335F"/>
    <w:rsid w:val="00604CF5"/>
    <w:rsid w:val="00605BC1"/>
    <w:rsid w:val="00610567"/>
    <w:rsid w:val="0061392D"/>
    <w:rsid w:val="00617741"/>
    <w:rsid w:val="00623189"/>
    <w:rsid w:val="00623AA6"/>
    <w:rsid w:val="00624EB9"/>
    <w:rsid w:val="006250B2"/>
    <w:rsid w:val="0062593F"/>
    <w:rsid w:val="00625CFD"/>
    <w:rsid w:val="00631BFC"/>
    <w:rsid w:val="00631C30"/>
    <w:rsid w:val="0063639A"/>
    <w:rsid w:val="00641254"/>
    <w:rsid w:val="00641858"/>
    <w:rsid w:val="006425B7"/>
    <w:rsid w:val="006440FF"/>
    <w:rsid w:val="00644A98"/>
    <w:rsid w:val="00650117"/>
    <w:rsid w:val="00652CF1"/>
    <w:rsid w:val="00661757"/>
    <w:rsid w:val="00662131"/>
    <w:rsid w:val="00664151"/>
    <w:rsid w:val="00667C57"/>
    <w:rsid w:val="00667DA5"/>
    <w:rsid w:val="0067145C"/>
    <w:rsid w:val="00671CA7"/>
    <w:rsid w:val="00671CD6"/>
    <w:rsid w:val="00672C22"/>
    <w:rsid w:val="00682379"/>
    <w:rsid w:val="00685108"/>
    <w:rsid w:val="00685EB2"/>
    <w:rsid w:val="0069059B"/>
    <w:rsid w:val="00690CC3"/>
    <w:rsid w:val="0069466F"/>
    <w:rsid w:val="0069552B"/>
    <w:rsid w:val="00696107"/>
    <w:rsid w:val="006A17E4"/>
    <w:rsid w:val="006A2FEA"/>
    <w:rsid w:val="006B1280"/>
    <w:rsid w:val="006B2104"/>
    <w:rsid w:val="006B3802"/>
    <w:rsid w:val="006B44B1"/>
    <w:rsid w:val="006B598B"/>
    <w:rsid w:val="006B63C1"/>
    <w:rsid w:val="006B6D20"/>
    <w:rsid w:val="006B7AA7"/>
    <w:rsid w:val="006C414E"/>
    <w:rsid w:val="006C46BA"/>
    <w:rsid w:val="006D12BE"/>
    <w:rsid w:val="006D6DF9"/>
    <w:rsid w:val="006E1DF8"/>
    <w:rsid w:val="006E350C"/>
    <w:rsid w:val="006E3733"/>
    <w:rsid w:val="006E5CDF"/>
    <w:rsid w:val="006F630D"/>
    <w:rsid w:val="006F7E33"/>
    <w:rsid w:val="00701507"/>
    <w:rsid w:val="00702700"/>
    <w:rsid w:val="007050DC"/>
    <w:rsid w:val="00706859"/>
    <w:rsid w:val="007070B8"/>
    <w:rsid w:val="00710FFC"/>
    <w:rsid w:val="0071249D"/>
    <w:rsid w:val="00713954"/>
    <w:rsid w:val="00713A43"/>
    <w:rsid w:val="00715336"/>
    <w:rsid w:val="00715D12"/>
    <w:rsid w:val="007172C7"/>
    <w:rsid w:val="00723836"/>
    <w:rsid w:val="00725DB9"/>
    <w:rsid w:val="00725F77"/>
    <w:rsid w:val="00726999"/>
    <w:rsid w:val="007276C7"/>
    <w:rsid w:val="00731EDB"/>
    <w:rsid w:val="00733092"/>
    <w:rsid w:val="00733F46"/>
    <w:rsid w:val="007344AE"/>
    <w:rsid w:val="0074185B"/>
    <w:rsid w:val="00743B2A"/>
    <w:rsid w:val="00745518"/>
    <w:rsid w:val="007478A1"/>
    <w:rsid w:val="0075682F"/>
    <w:rsid w:val="00760CFF"/>
    <w:rsid w:val="00761C09"/>
    <w:rsid w:val="00762F24"/>
    <w:rsid w:val="0076359F"/>
    <w:rsid w:val="00763D0E"/>
    <w:rsid w:val="007646FB"/>
    <w:rsid w:val="0076513D"/>
    <w:rsid w:val="00765953"/>
    <w:rsid w:val="0077013C"/>
    <w:rsid w:val="00770859"/>
    <w:rsid w:val="00773770"/>
    <w:rsid w:val="00780E79"/>
    <w:rsid w:val="00781E89"/>
    <w:rsid w:val="00782246"/>
    <w:rsid w:val="00784D5F"/>
    <w:rsid w:val="00785510"/>
    <w:rsid w:val="007912C6"/>
    <w:rsid w:val="007A591F"/>
    <w:rsid w:val="007A6187"/>
    <w:rsid w:val="007B0AD2"/>
    <w:rsid w:val="007B2CC2"/>
    <w:rsid w:val="007B5152"/>
    <w:rsid w:val="007B5F7A"/>
    <w:rsid w:val="007B5FB1"/>
    <w:rsid w:val="007B7A9B"/>
    <w:rsid w:val="007C167E"/>
    <w:rsid w:val="007C1CD6"/>
    <w:rsid w:val="007C33C4"/>
    <w:rsid w:val="007C659A"/>
    <w:rsid w:val="007C74BA"/>
    <w:rsid w:val="007C7B54"/>
    <w:rsid w:val="007D18AD"/>
    <w:rsid w:val="007D2CF6"/>
    <w:rsid w:val="007E1C25"/>
    <w:rsid w:val="007E2FB6"/>
    <w:rsid w:val="007E502D"/>
    <w:rsid w:val="007E5033"/>
    <w:rsid w:val="007E686D"/>
    <w:rsid w:val="007E7112"/>
    <w:rsid w:val="007F05F7"/>
    <w:rsid w:val="007F1373"/>
    <w:rsid w:val="007F1562"/>
    <w:rsid w:val="007F1FF6"/>
    <w:rsid w:val="007F2504"/>
    <w:rsid w:val="007F5B3F"/>
    <w:rsid w:val="007F7114"/>
    <w:rsid w:val="0080463B"/>
    <w:rsid w:val="00805A54"/>
    <w:rsid w:val="00806DAE"/>
    <w:rsid w:val="0080739E"/>
    <w:rsid w:val="00812883"/>
    <w:rsid w:val="00813B56"/>
    <w:rsid w:val="00820E5F"/>
    <w:rsid w:val="00823216"/>
    <w:rsid w:val="00825A79"/>
    <w:rsid w:val="00831021"/>
    <w:rsid w:val="00832281"/>
    <w:rsid w:val="00836E84"/>
    <w:rsid w:val="00840776"/>
    <w:rsid w:val="008408DE"/>
    <w:rsid w:val="00841EB1"/>
    <w:rsid w:val="00842E82"/>
    <w:rsid w:val="0084404B"/>
    <w:rsid w:val="0085220F"/>
    <w:rsid w:val="0085406D"/>
    <w:rsid w:val="0085435B"/>
    <w:rsid w:val="008543C1"/>
    <w:rsid w:val="00855327"/>
    <w:rsid w:val="0086091D"/>
    <w:rsid w:val="00860FB4"/>
    <w:rsid w:val="00862F3E"/>
    <w:rsid w:val="00863073"/>
    <w:rsid w:val="008650B8"/>
    <w:rsid w:val="008658D9"/>
    <w:rsid w:val="00866965"/>
    <w:rsid w:val="008677E1"/>
    <w:rsid w:val="0087096E"/>
    <w:rsid w:val="00872790"/>
    <w:rsid w:val="00875042"/>
    <w:rsid w:val="0087507E"/>
    <w:rsid w:val="00875842"/>
    <w:rsid w:val="00875DF4"/>
    <w:rsid w:val="00876431"/>
    <w:rsid w:val="00876FED"/>
    <w:rsid w:val="008816BF"/>
    <w:rsid w:val="00885928"/>
    <w:rsid w:val="0089048B"/>
    <w:rsid w:val="008947BE"/>
    <w:rsid w:val="008A0ADD"/>
    <w:rsid w:val="008A15D3"/>
    <w:rsid w:val="008A2D13"/>
    <w:rsid w:val="008B074D"/>
    <w:rsid w:val="008B0E6C"/>
    <w:rsid w:val="008B1585"/>
    <w:rsid w:val="008B2D71"/>
    <w:rsid w:val="008B7A1B"/>
    <w:rsid w:val="008C55BA"/>
    <w:rsid w:val="008C66F0"/>
    <w:rsid w:val="008D1197"/>
    <w:rsid w:val="008D2E27"/>
    <w:rsid w:val="008D5B55"/>
    <w:rsid w:val="008D6509"/>
    <w:rsid w:val="008D7680"/>
    <w:rsid w:val="008E0677"/>
    <w:rsid w:val="008E3BC9"/>
    <w:rsid w:val="008E3DEC"/>
    <w:rsid w:val="008E45FF"/>
    <w:rsid w:val="008E6256"/>
    <w:rsid w:val="008F111A"/>
    <w:rsid w:val="008F1576"/>
    <w:rsid w:val="008F67EC"/>
    <w:rsid w:val="008F6A10"/>
    <w:rsid w:val="008F6F92"/>
    <w:rsid w:val="008F7E14"/>
    <w:rsid w:val="009007E9"/>
    <w:rsid w:val="00911A21"/>
    <w:rsid w:val="00911F4A"/>
    <w:rsid w:val="00913EE0"/>
    <w:rsid w:val="00916C1B"/>
    <w:rsid w:val="009173E5"/>
    <w:rsid w:val="0092143E"/>
    <w:rsid w:val="0092265F"/>
    <w:rsid w:val="0092332D"/>
    <w:rsid w:val="00924208"/>
    <w:rsid w:val="0092436B"/>
    <w:rsid w:val="00925648"/>
    <w:rsid w:val="00926889"/>
    <w:rsid w:val="009312B1"/>
    <w:rsid w:val="009327DF"/>
    <w:rsid w:val="00934225"/>
    <w:rsid w:val="009346E6"/>
    <w:rsid w:val="00934E14"/>
    <w:rsid w:val="00947B39"/>
    <w:rsid w:val="00947E48"/>
    <w:rsid w:val="009504B0"/>
    <w:rsid w:val="00952D26"/>
    <w:rsid w:val="009538A0"/>
    <w:rsid w:val="00962B3C"/>
    <w:rsid w:val="00962DA1"/>
    <w:rsid w:val="0096765D"/>
    <w:rsid w:val="0096772A"/>
    <w:rsid w:val="00972A2A"/>
    <w:rsid w:val="00974239"/>
    <w:rsid w:val="009748D6"/>
    <w:rsid w:val="0097783D"/>
    <w:rsid w:val="00977A87"/>
    <w:rsid w:val="009806FA"/>
    <w:rsid w:val="00990A4A"/>
    <w:rsid w:val="009938D7"/>
    <w:rsid w:val="00995191"/>
    <w:rsid w:val="0099536A"/>
    <w:rsid w:val="009962E9"/>
    <w:rsid w:val="00996561"/>
    <w:rsid w:val="00996F0B"/>
    <w:rsid w:val="009970A1"/>
    <w:rsid w:val="009975F9"/>
    <w:rsid w:val="009A0BD8"/>
    <w:rsid w:val="009A10A8"/>
    <w:rsid w:val="009A4C79"/>
    <w:rsid w:val="009A725B"/>
    <w:rsid w:val="009A7E5D"/>
    <w:rsid w:val="009B52DC"/>
    <w:rsid w:val="009B5B15"/>
    <w:rsid w:val="009C0E24"/>
    <w:rsid w:val="009C4B00"/>
    <w:rsid w:val="009C7D18"/>
    <w:rsid w:val="009D3BA1"/>
    <w:rsid w:val="009D4325"/>
    <w:rsid w:val="009D4B12"/>
    <w:rsid w:val="009D6400"/>
    <w:rsid w:val="009D6FB9"/>
    <w:rsid w:val="009E19B7"/>
    <w:rsid w:val="009E2447"/>
    <w:rsid w:val="009E2BC6"/>
    <w:rsid w:val="009E719E"/>
    <w:rsid w:val="009E7312"/>
    <w:rsid w:val="009E7651"/>
    <w:rsid w:val="009F0F06"/>
    <w:rsid w:val="009F7FF3"/>
    <w:rsid w:val="00A016BD"/>
    <w:rsid w:val="00A12001"/>
    <w:rsid w:val="00A12C89"/>
    <w:rsid w:val="00A13B3C"/>
    <w:rsid w:val="00A16B18"/>
    <w:rsid w:val="00A17453"/>
    <w:rsid w:val="00A2158F"/>
    <w:rsid w:val="00A21D69"/>
    <w:rsid w:val="00A228CB"/>
    <w:rsid w:val="00A23E4B"/>
    <w:rsid w:val="00A24B2D"/>
    <w:rsid w:val="00A25AF3"/>
    <w:rsid w:val="00A26CA8"/>
    <w:rsid w:val="00A26CBD"/>
    <w:rsid w:val="00A363AA"/>
    <w:rsid w:val="00A41D52"/>
    <w:rsid w:val="00A442EC"/>
    <w:rsid w:val="00A450C8"/>
    <w:rsid w:val="00A5235B"/>
    <w:rsid w:val="00A5287A"/>
    <w:rsid w:val="00A534DB"/>
    <w:rsid w:val="00A53BA0"/>
    <w:rsid w:val="00A5564F"/>
    <w:rsid w:val="00A61659"/>
    <w:rsid w:val="00A61B28"/>
    <w:rsid w:val="00A64BB7"/>
    <w:rsid w:val="00A668AA"/>
    <w:rsid w:val="00A66D5A"/>
    <w:rsid w:val="00A67E10"/>
    <w:rsid w:val="00A7151A"/>
    <w:rsid w:val="00A72FDC"/>
    <w:rsid w:val="00A75359"/>
    <w:rsid w:val="00A7584D"/>
    <w:rsid w:val="00A8009D"/>
    <w:rsid w:val="00A8035A"/>
    <w:rsid w:val="00A80660"/>
    <w:rsid w:val="00A80ACE"/>
    <w:rsid w:val="00A818A2"/>
    <w:rsid w:val="00A83A4D"/>
    <w:rsid w:val="00A86A20"/>
    <w:rsid w:val="00A86A8F"/>
    <w:rsid w:val="00A901F1"/>
    <w:rsid w:val="00A91F89"/>
    <w:rsid w:val="00A93AB5"/>
    <w:rsid w:val="00A93CF2"/>
    <w:rsid w:val="00A95F0E"/>
    <w:rsid w:val="00A96215"/>
    <w:rsid w:val="00AA25DB"/>
    <w:rsid w:val="00AA4942"/>
    <w:rsid w:val="00AA66B6"/>
    <w:rsid w:val="00AA6A0C"/>
    <w:rsid w:val="00AA6B31"/>
    <w:rsid w:val="00AB10C4"/>
    <w:rsid w:val="00AB250F"/>
    <w:rsid w:val="00AB2B1C"/>
    <w:rsid w:val="00AB60DD"/>
    <w:rsid w:val="00AC3E70"/>
    <w:rsid w:val="00AC486E"/>
    <w:rsid w:val="00AD1FE0"/>
    <w:rsid w:val="00AD3716"/>
    <w:rsid w:val="00AD5512"/>
    <w:rsid w:val="00AD58BC"/>
    <w:rsid w:val="00AD6F2D"/>
    <w:rsid w:val="00AE0CA6"/>
    <w:rsid w:val="00AE5BC5"/>
    <w:rsid w:val="00AE6FC6"/>
    <w:rsid w:val="00AF5DD6"/>
    <w:rsid w:val="00B00C5B"/>
    <w:rsid w:val="00B05B24"/>
    <w:rsid w:val="00B0605A"/>
    <w:rsid w:val="00B06488"/>
    <w:rsid w:val="00B06B21"/>
    <w:rsid w:val="00B0756D"/>
    <w:rsid w:val="00B07ED7"/>
    <w:rsid w:val="00B17CB9"/>
    <w:rsid w:val="00B17D17"/>
    <w:rsid w:val="00B20AA4"/>
    <w:rsid w:val="00B21287"/>
    <w:rsid w:val="00B22FE4"/>
    <w:rsid w:val="00B23024"/>
    <w:rsid w:val="00B2676D"/>
    <w:rsid w:val="00B27963"/>
    <w:rsid w:val="00B32D57"/>
    <w:rsid w:val="00B34B13"/>
    <w:rsid w:val="00B37F33"/>
    <w:rsid w:val="00B40FB6"/>
    <w:rsid w:val="00B413EA"/>
    <w:rsid w:val="00B41B21"/>
    <w:rsid w:val="00B52971"/>
    <w:rsid w:val="00B61513"/>
    <w:rsid w:val="00B64230"/>
    <w:rsid w:val="00B64751"/>
    <w:rsid w:val="00B64C88"/>
    <w:rsid w:val="00B66BAD"/>
    <w:rsid w:val="00B678AA"/>
    <w:rsid w:val="00B71B6D"/>
    <w:rsid w:val="00B822BF"/>
    <w:rsid w:val="00B85AAE"/>
    <w:rsid w:val="00B85DF6"/>
    <w:rsid w:val="00B91938"/>
    <w:rsid w:val="00B965F5"/>
    <w:rsid w:val="00BA18B7"/>
    <w:rsid w:val="00BA36A9"/>
    <w:rsid w:val="00BA5766"/>
    <w:rsid w:val="00BA62A7"/>
    <w:rsid w:val="00BA67BF"/>
    <w:rsid w:val="00BA6A72"/>
    <w:rsid w:val="00BA79DC"/>
    <w:rsid w:val="00BA7DD3"/>
    <w:rsid w:val="00BB0EEC"/>
    <w:rsid w:val="00BB1233"/>
    <w:rsid w:val="00BB4824"/>
    <w:rsid w:val="00BB647D"/>
    <w:rsid w:val="00BC15E5"/>
    <w:rsid w:val="00BC25BA"/>
    <w:rsid w:val="00BC5140"/>
    <w:rsid w:val="00BC6C2A"/>
    <w:rsid w:val="00BD19E4"/>
    <w:rsid w:val="00BD26D1"/>
    <w:rsid w:val="00BD5D1C"/>
    <w:rsid w:val="00BD79EC"/>
    <w:rsid w:val="00BE05CC"/>
    <w:rsid w:val="00BE177D"/>
    <w:rsid w:val="00BE270B"/>
    <w:rsid w:val="00BF536D"/>
    <w:rsid w:val="00BF5A37"/>
    <w:rsid w:val="00BF5AB2"/>
    <w:rsid w:val="00BF758E"/>
    <w:rsid w:val="00C01A08"/>
    <w:rsid w:val="00C02B37"/>
    <w:rsid w:val="00C04AAA"/>
    <w:rsid w:val="00C07ED7"/>
    <w:rsid w:val="00C2022D"/>
    <w:rsid w:val="00C2036F"/>
    <w:rsid w:val="00C22DE7"/>
    <w:rsid w:val="00C25052"/>
    <w:rsid w:val="00C250F4"/>
    <w:rsid w:val="00C27E7A"/>
    <w:rsid w:val="00C30664"/>
    <w:rsid w:val="00C31ED2"/>
    <w:rsid w:val="00C34D58"/>
    <w:rsid w:val="00C3546A"/>
    <w:rsid w:val="00C3765B"/>
    <w:rsid w:val="00C4179D"/>
    <w:rsid w:val="00C44281"/>
    <w:rsid w:val="00C47F0B"/>
    <w:rsid w:val="00C47F4D"/>
    <w:rsid w:val="00C50403"/>
    <w:rsid w:val="00C51E8C"/>
    <w:rsid w:val="00C55AAD"/>
    <w:rsid w:val="00C55F5A"/>
    <w:rsid w:val="00C56116"/>
    <w:rsid w:val="00C57281"/>
    <w:rsid w:val="00C57E43"/>
    <w:rsid w:val="00C608FD"/>
    <w:rsid w:val="00C643FF"/>
    <w:rsid w:val="00C652A4"/>
    <w:rsid w:val="00C67933"/>
    <w:rsid w:val="00C67CE9"/>
    <w:rsid w:val="00C71A54"/>
    <w:rsid w:val="00C7218A"/>
    <w:rsid w:val="00C756C7"/>
    <w:rsid w:val="00C775F0"/>
    <w:rsid w:val="00C77B24"/>
    <w:rsid w:val="00C81958"/>
    <w:rsid w:val="00C85ACD"/>
    <w:rsid w:val="00C85AF7"/>
    <w:rsid w:val="00C92D15"/>
    <w:rsid w:val="00C94F97"/>
    <w:rsid w:val="00C957C7"/>
    <w:rsid w:val="00CA11FE"/>
    <w:rsid w:val="00CA212D"/>
    <w:rsid w:val="00CB0154"/>
    <w:rsid w:val="00CB37B8"/>
    <w:rsid w:val="00CB4F07"/>
    <w:rsid w:val="00CB7D91"/>
    <w:rsid w:val="00CC036F"/>
    <w:rsid w:val="00CC4AAC"/>
    <w:rsid w:val="00CC5F22"/>
    <w:rsid w:val="00CD184D"/>
    <w:rsid w:val="00CD320D"/>
    <w:rsid w:val="00CD4B48"/>
    <w:rsid w:val="00CD5510"/>
    <w:rsid w:val="00CD5CA0"/>
    <w:rsid w:val="00CD6789"/>
    <w:rsid w:val="00CE232E"/>
    <w:rsid w:val="00CE255B"/>
    <w:rsid w:val="00CE33BC"/>
    <w:rsid w:val="00CE3784"/>
    <w:rsid w:val="00CF01C7"/>
    <w:rsid w:val="00CF20EC"/>
    <w:rsid w:val="00CF2F18"/>
    <w:rsid w:val="00CF3989"/>
    <w:rsid w:val="00CF3C64"/>
    <w:rsid w:val="00CF4181"/>
    <w:rsid w:val="00CF5BDC"/>
    <w:rsid w:val="00CF687F"/>
    <w:rsid w:val="00D02997"/>
    <w:rsid w:val="00D0359C"/>
    <w:rsid w:val="00D06ABF"/>
    <w:rsid w:val="00D06C48"/>
    <w:rsid w:val="00D07F0A"/>
    <w:rsid w:val="00D07F27"/>
    <w:rsid w:val="00D10FBA"/>
    <w:rsid w:val="00D12EE3"/>
    <w:rsid w:val="00D132B4"/>
    <w:rsid w:val="00D173C6"/>
    <w:rsid w:val="00D2091E"/>
    <w:rsid w:val="00D220F2"/>
    <w:rsid w:val="00D316FC"/>
    <w:rsid w:val="00D31BE8"/>
    <w:rsid w:val="00D32888"/>
    <w:rsid w:val="00D356AA"/>
    <w:rsid w:val="00D35BB7"/>
    <w:rsid w:val="00D426B9"/>
    <w:rsid w:val="00D47492"/>
    <w:rsid w:val="00D55433"/>
    <w:rsid w:val="00D6098A"/>
    <w:rsid w:val="00D6403B"/>
    <w:rsid w:val="00D67126"/>
    <w:rsid w:val="00D6744F"/>
    <w:rsid w:val="00D76655"/>
    <w:rsid w:val="00D8189D"/>
    <w:rsid w:val="00D838E9"/>
    <w:rsid w:val="00D875C5"/>
    <w:rsid w:val="00D9031B"/>
    <w:rsid w:val="00D9180A"/>
    <w:rsid w:val="00D92404"/>
    <w:rsid w:val="00D952E2"/>
    <w:rsid w:val="00D95AB5"/>
    <w:rsid w:val="00D97252"/>
    <w:rsid w:val="00DA0AED"/>
    <w:rsid w:val="00DA1FA8"/>
    <w:rsid w:val="00DA2375"/>
    <w:rsid w:val="00DA3B90"/>
    <w:rsid w:val="00DA3C2F"/>
    <w:rsid w:val="00DA450B"/>
    <w:rsid w:val="00DA5A61"/>
    <w:rsid w:val="00DA6228"/>
    <w:rsid w:val="00DA622E"/>
    <w:rsid w:val="00DB1585"/>
    <w:rsid w:val="00DB1F3A"/>
    <w:rsid w:val="00DB58DC"/>
    <w:rsid w:val="00DB62C7"/>
    <w:rsid w:val="00DC0115"/>
    <w:rsid w:val="00DC477A"/>
    <w:rsid w:val="00DD4B2E"/>
    <w:rsid w:val="00DD68CD"/>
    <w:rsid w:val="00DE2938"/>
    <w:rsid w:val="00DE334F"/>
    <w:rsid w:val="00DE4137"/>
    <w:rsid w:val="00DE4739"/>
    <w:rsid w:val="00DE5200"/>
    <w:rsid w:val="00DE7999"/>
    <w:rsid w:val="00DE7C64"/>
    <w:rsid w:val="00DF103A"/>
    <w:rsid w:val="00DF2E7E"/>
    <w:rsid w:val="00DF41CD"/>
    <w:rsid w:val="00DF6949"/>
    <w:rsid w:val="00DF6F67"/>
    <w:rsid w:val="00DF7FC6"/>
    <w:rsid w:val="00E01F26"/>
    <w:rsid w:val="00E042C6"/>
    <w:rsid w:val="00E04C16"/>
    <w:rsid w:val="00E05344"/>
    <w:rsid w:val="00E05892"/>
    <w:rsid w:val="00E17D35"/>
    <w:rsid w:val="00E26812"/>
    <w:rsid w:val="00E3714D"/>
    <w:rsid w:val="00E371F3"/>
    <w:rsid w:val="00E4060F"/>
    <w:rsid w:val="00E44160"/>
    <w:rsid w:val="00E46107"/>
    <w:rsid w:val="00E4684A"/>
    <w:rsid w:val="00E468B7"/>
    <w:rsid w:val="00E468BA"/>
    <w:rsid w:val="00E46E49"/>
    <w:rsid w:val="00E53B5C"/>
    <w:rsid w:val="00E6463A"/>
    <w:rsid w:val="00E700B5"/>
    <w:rsid w:val="00E71D2A"/>
    <w:rsid w:val="00E84171"/>
    <w:rsid w:val="00E928DA"/>
    <w:rsid w:val="00E934FD"/>
    <w:rsid w:val="00E93EC4"/>
    <w:rsid w:val="00E97CC2"/>
    <w:rsid w:val="00EA0209"/>
    <w:rsid w:val="00EA0BE4"/>
    <w:rsid w:val="00EA22F9"/>
    <w:rsid w:val="00EA2CEC"/>
    <w:rsid w:val="00EA3A26"/>
    <w:rsid w:val="00EA654F"/>
    <w:rsid w:val="00EB0C8E"/>
    <w:rsid w:val="00EB23D4"/>
    <w:rsid w:val="00EB2761"/>
    <w:rsid w:val="00EB4B61"/>
    <w:rsid w:val="00EB5C52"/>
    <w:rsid w:val="00EC3C67"/>
    <w:rsid w:val="00EC7D87"/>
    <w:rsid w:val="00ED150A"/>
    <w:rsid w:val="00ED3C00"/>
    <w:rsid w:val="00ED3CBC"/>
    <w:rsid w:val="00ED4D3C"/>
    <w:rsid w:val="00ED5AD0"/>
    <w:rsid w:val="00ED77AC"/>
    <w:rsid w:val="00ED7D40"/>
    <w:rsid w:val="00EE1D64"/>
    <w:rsid w:val="00EE2CFB"/>
    <w:rsid w:val="00EE2E01"/>
    <w:rsid w:val="00EE3147"/>
    <w:rsid w:val="00EE4004"/>
    <w:rsid w:val="00EE648B"/>
    <w:rsid w:val="00EF174F"/>
    <w:rsid w:val="00EF1F9E"/>
    <w:rsid w:val="00EF250A"/>
    <w:rsid w:val="00EF3710"/>
    <w:rsid w:val="00EF423D"/>
    <w:rsid w:val="00EF61BB"/>
    <w:rsid w:val="00EF7780"/>
    <w:rsid w:val="00F00615"/>
    <w:rsid w:val="00F01B65"/>
    <w:rsid w:val="00F05062"/>
    <w:rsid w:val="00F0661F"/>
    <w:rsid w:val="00F076E9"/>
    <w:rsid w:val="00F10180"/>
    <w:rsid w:val="00F14B30"/>
    <w:rsid w:val="00F15147"/>
    <w:rsid w:val="00F16738"/>
    <w:rsid w:val="00F17058"/>
    <w:rsid w:val="00F172F1"/>
    <w:rsid w:val="00F235DC"/>
    <w:rsid w:val="00F23FEF"/>
    <w:rsid w:val="00F247C8"/>
    <w:rsid w:val="00F249C2"/>
    <w:rsid w:val="00F26565"/>
    <w:rsid w:val="00F276C3"/>
    <w:rsid w:val="00F30599"/>
    <w:rsid w:val="00F308AF"/>
    <w:rsid w:val="00F3484F"/>
    <w:rsid w:val="00F406C7"/>
    <w:rsid w:val="00F406D5"/>
    <w:rsid w:val="00F47624"/>
    <w:rsid w:val="00F5184B"/>
    <w:rsid w:val="00F52DAE"/>
    <w:rsid w:val="00F57172"/>
    <w:rsid w:val="00F57A66"/>
    <w:rsid w:val="00F602DB"/>
    <w:rsid w:val="00F613DC"/>
    <w:rsid w:val="00F62142"/>
    <w:rsid w:val="00F6492C"/>
    <w:rsid w:val="00F66994"/>
    <w:rsid w:val="00F67E8B"/>
    <w:rsid w:val="00F70B13"/>
    <w:rsid w:val="00F7348D"/>
    <w:rsid w:val="00F74A2A"/>
    <w:rsid w:val="00F74C5A"/>
    <w:rsid w:val="00F7584B"/>
    <w:rsid w:val="00F7622B"/>
    <w:rsid w:val="00F80F47"/>
    <w:rsid w:val="00F81E2F"/>
    <w:rsid w:val="00F82C04"/>
    <w:rsid w:val="00F87440"/>
    <w:rsid w:val="00F9414C"/>
    <w:rsid w:val="00F94B9C"/>
    <w:rsid w:val="00F94C64"/>
    <w:rsid w:val="00FA08EE"/>
    <w:rsid w:val="00FA516B"/>
    <w:rsid w:val="00FA5D37"/>
    <w:rsid w:val="00FA5F41"/>
    <w:rsid w:val="00FA673E"/>
    <w:rsid w:val="00FB0888"/>
    <w:rsid w:val="00FB097A"/>
    <w:rsid w:val="00FB0F0A"/>
    <w:rsid w:val="00FB1281"/>
    <w:rsid w:val="00FB37B0"/>
    <w:rsid w:val="00FB76A9"/>
    <w:rsid w:val="00FC0F37"/>
    <w:rsid w:val="00FC424F"/>
    <w:rsid w:val="00FC73D5"/>
    <w:rsid w:val="00FD1906"/>
    <w:rsid w:val="00FD35BC"/>
    <w:rsid w:val="00FD5243"/>
    <w:rsid w:val="00FD57E1"/>
    <w:rsid w:val="00FD72C5"/>
    <w:rsid w:val="00FE406B"/>
    <w:rsid w:val="00FE4519"/>
    <w:rsid w:val="00FE5D08"/>
    <w:rsid w:val="00FE6267"/>
    <w:rsid w:val="00FF06ED"/>
    <w:rsid w:val="00FF0C4A"/>
    <w:rsid w:val="00FF2CA4"/>
    <w:rsid w:val="00FF4D90"/>
    <w:rsid w:val="00FF58D6"/>
    <w:rsid w:val="00FF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66ABF"/>
  <w15:chartTrackingRefBased/>
  <w15:docId w15:val="{9DF0BEB8-7EC8-46FF-A631-38C6CF12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99A"/>
    <w:rPr>
      <w:rFonts w:ascii="Arial" w:hAnsi="Arial"/>
      <w:sz w:val="24"/>
      <w:lang w:eastAsia="en-US"/>
    </w:rPr>
  </w:style>
  <w:style w:type="paragraph" w:styleId="Heading1">
    <w:name w:val="heading 1"/>
    <w:aliases w:val="Main Heading"/>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semiHidden/>
    <w:unhideWhenUsed/>
    <w:qFormat/>
    <w:rsid w:val="00464CF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096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BodyText">
    <w:name w:val="Body Text"/>
    <w:basedOn w:val="Normal"/>
    <w:semiHidden/>
    <w:pPr>
      <w:widowControl w:val="0"/>
      <w:spacing w:after="220" w:line="180" w:lineRule="atLeast"/>
      <w:jc w:val="both"/>
    </w:pPr>
    <w:rPr>
      <w:spacing w:val="-5"/>
      <w:sz w:val="20"/>
    </w:rPr>
  </w:style>
  <w:style w:type="paragraph" w:customStyle="1" w:styleId="indent1">
    <w:name w:val="indent1"/>
    <w:basedOn w:val="Normal"/>
    <w:pPr>
      <w:ind w:left="720" w:hanging="720"/>
    </w:pPr>
    <w:rPr>
      <w:rFonts w:cs="Arial"/>
    </w:rPr>
  </w:style>
  <w:style w:type="character" w:customStyle="1" w:styleId="Heading3Char">
    <w:name w:val="Heading 3 Char"/>
    <w:link w:val="Heading3"/>
    <w:uiPriority w:val="9"/>
    <w:semiHidden/>
    <w:rsid w:val="0087096E"/>
    <w:rPr>
      <w:rFonts w:ascii="Cambria" w:eastAsia="Times New Roman" w:hAnsi="Cambria" w:cs="Times New Roman"/>
      <w:b/>
      <w:bCs/>
      <w:sz w:val="26"/>
      <w:szCs w:val="26"/>
      <w:lang w:eastAsia="en-US"/>
    </w:rPr>
  </w:style>
  <w:style w:type="paragraph" w:styleId="Header">
    <w:name w:val="header"/>
    <w:basedOn w:val="Normal"/>
    <w:link w:val="HeaderChar"/>
    <w:uiPriority w:val="99"/>
    <w:semiHidden/>
    <w:unhideWhenUsed/>
    <w:rsid w:val="005744FB"/>
    <w:pPr>
      <w:tabs>
        <w:tab w:val="center" w:pos="4513"/>
        <w:tab w:val="right" w:pos="9026"/>
      </w:tabs>
    </w:pPr>
  </w:style>
  <w:style w:type="character" w:customStyle="1" w:styleId="HeaderChar">
    <w:name w:val="Header Char"/>
    <w:link w:val="Header"/>
    <w:uiPriority w:val="99"/>
    <w:semiHidden/>
    <w:rsid w:val="005744FB"/>
    <w:rPr>
      <w:rFonts w:ascii="Arial" w:hAnsi="Arial"/>
      <w:sz w:val="24"/>
      <w:lang w:eastAsia="en-US"/>
    </w:rPr>
  </w:style>
  <w:style w:type="paragraph" w:styleId="Footer">
    <w:name w:val="footer"/>
    <w:basedOn w:val="Normal"/>
    <w:link w:val="FooterChar"/>
    <w:unhideWhenUsed/>
    <w:rsid w:val="005744FB"/>
    <w:pPr>
      <w:tabs>
        <w:tab w:val="center" w:pos="4513"/>
        <w:tab w:val="right" w:pos="9026"/>
      </w:tabs>
    </w:pPr>
  </w:style>
  <w:style w:type="character" w:customStyle="1" w:styleId="FooterChar">
    <w:name w:val="Footer Char"/>
    <w:link w:val="Footer"/>
    <w:uiPriority w:val="99"/>
    <w:rsid w:val="005744FB"/>
    <w:rPr>
      <w:rFonts w:ascii="Arial" w:hAnsi="Arial"/>
      <w:sz w:val="24"/>
      <w:lang w:eastAsia="en-US"/>
    </w:rPr>
  </w:style>
  <w:style w:type="paragraph" w:styleId="ListParagraph">
    <w:name w:val="List Paragraph"/>
    <w:basedOn w:val="Normal"/>
    <w:uiPriority w:val="34"/>
    <w:qFormat/>
    <w:rsid w:val="009F0F06"/>
    <w:pPr>
      <w:spacing w:after="200" w:line="276" w:lineRule="auto"/>
      <w:ind w:left="720"/>
    </w:pPr>
    <w:rPr>
      <w:rFonts w:eastAsia="Calibri"/>
      <w:szCs w:val="22"/>
    </w:rPr>
  </w:style>
  <w:style w:type="character" w:customStyle="1" w:styleId="Heading1Char">
    <w:name w:val="Heading 1 Char"/>
    <w:aliases w:val="Main Heading Char"/>
    <w:link w:val="Heading1"/>
    <w:uiPriority w:val="9"/>
    <w:rsid w:val="009F0F06"/>
    <w:rPr>
      <w:rFonts w:ascii="Arial" w:hAnsi="Arial"/>
      <w:b/>
      <w:sz w:val="24"/>
      <w:lang w:eastAsia="en-US"/>
    </w:rPr>
  </w:style>
  <w:style w:type="character" w:styleId="PageNumber">
    <w:name w:val="page number"/>
    <w:rsid w:val="000B5E42"/>
    <w:rPr>
      <w:rFonts w:cs="Times New Roman"/>
    </w:rPr>
  </w:style>
  <w:style w:type="character" w:customStyle="1" w:styleId="Heading2Char">
    <w:name w:val="Heading 2 Char"/>
    <w:link w:val="Heading2"/>
    <w:uiPriority w:val="9"/>
    <w:semiHidden/>
    <w:rsid w:val="00464CF9"/>
    <w:rPr>
      <w:rFonts w:ascii="Cambria" w:eastAsia="Times New Roman" w:hAnsi="Cambria" w:cs="Times New Roman"/>
      <w:b/>
      <w:bCs/>
      <w:i/>
      <w:iCs/>
      <w:sz w:val="28"/>
      <w:szCs w:val="28"/>
      <w:lang w:eastAsia="en-US"/>
    </w:rPr>
  </w:style>
  <w:style w:type="paragraph" w:styleId="BodyTextIndent">
    <w:name w:val="Body Text Indent"/>
    <w:basedOn w:val="Normal"/>
    <w:link w:val="BodyTextIndentChar"/>
    <w:uiPriority w:val="99"/>
    <w:semiHidden/>
    <w:unhideWhenUsed/>
    <w:rsid w:val="00464CF9"/>
    <w:pPr>
      <w:spacing w:after="120"/>
      <w:ind w:left="283"/>
    </w:pPr>
  </w:style>
  <w:style w:type="character" w:customStyle="1" w:styleId="BodyTextIndentChar">
    <w:name w:val="Body Text Indent Char"/>
    <w:link w:val="BodyTextIndent"/>
    <w:uiPriority w:val="99"/>
    <w:semiHidden/>
    <w:rsid w:val="00464CF9"/>
    <w:rPr>
      <w:rFonts w:ascii="Arial" w:hAnsi="Arial"/>
      <w:sz w:val="24"/>
      <w:lang w:eastAsia="en-US"/>
    </w:rPr>
  </w:style>
  <w:style w:type="paragraph" w:customStyle="1" w:styleId="BodyText1">
    <w:name w:val="Body Text1"/>
    <w:rsid w:val="000D6358"/>
    <w:pPr>
      <w:spacing w:after="113" w:line="300" w:lineRule="atLeast"/>
    </w:pPr>
    <w:rPr>
      <w:rFonts w:ascii="Arial" w:hAnsi="Arial"/>
      <w:snapToGrid w:val="0"/>
      <w:color w:val="000000"/>
      <w:sz w:val="24"/>
      <w:lang w:val="en-US" w:eastAsia="en-US"/>
    </w:rPr>
  </w:style>
  <w:style w:type="paragraph" w:styleId="NormalWeb">
    <w:name w:val="Normal (Web)"/>
    <w:basedOn w:val="Normal"/>
    <w:semiHidden/>
    <w:rsid w:val="000D6358"/>
    <w:pPr>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uiPriority w:val="59"/>
    <w:rsid w:val="00384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40B0C"/>
    <w:pPr>
      <w:jc w:val="center"/>
    </w:pPr>
    <w:rPr>
      <w:b/>
      <w:sz w:val="28"/>
      <w:u w:val="single"/>
    </w:rPr>
  </w:style>
  <w:style w:type="character" w:customStyle="1" w:styleId="TitleChar">
    <w:name w:val="Title Char"/>
    <w:link w:val="Title"/>
    <w:rsid w:val="00240B0C"/>
    <w:rPr>
      <w:rFonts w:ascii="Arial" w:hAnsi="Arial"/>
      <w:b/>
      <w:sz w:val="28"/>
      <w:u w:val="single"/>
      <w:lang w:eastAsia="en-US"/>
    </w:rPr>
  </w:style>
  <w:style w:type="paragraph" w:styleId="BalloonText">
    <w:name w:val="Balloon Text"/>
    <w:basedOn w:val="Normal"/>
    <w:link w:val="BalloonTextChar"/>
    <w:uiPriority w:val="99"/>
    <w:semiHidden/>
    <w:unhideWhenUsed/>
    <w:rsid w:val="008B2D71"/>
    <w:rPr>
      <w:rFonts w:ascii="Tahoma" w:hAnsi="Tahoma" w:cs="Tahoma"/>
      <w:sz w:val="16"/>
      <w:szCs w:val="16"/>
    </w:rPr>
  </w:style>
  <w:style w:type="character" w:customStyle="1" w:styleId="BalloonTextChar">
    <w:name w:val="Balloon Text Char"/>
    <w:link w:val="BalloonText"/>
    <w:uiPriority w:val="99"/>
    <w:semiHidden/>
    <w:rsid w:val="008B2D71"/>
    <w:rPr>
      <w:rFonts w:ascii="Tahoma" w:hAnsi="Tahoma" w:cs="Tahoma"/>
      <w:sz w:val="16"/>
      <w:szCs w:val="16"/>
      <w:lang w:eastAsia="en-US"/>
    </w:rPr>
  </w:style>
  <w:style w:type="character" w:styleId="Hyperlink">
    <w:name w:val="Hyperlink"/>
    <w:uiPriority w:val="99"/>
    <w:unhideWhenUsed/>
    <w:rsid w:val="00164A4A"/>
    <w:rPr>
      <w:color w:val="0000FF"/>
      <w:u w:val="single"/>
    </w:rPr>
  </w:style>
  <w:style w:type="paragraph" w:customStyle="1" w:styleId="Default">
    <w:name w:val="Default"/>
    <w:rsid w:val="00494F44"/>
    <w:pPr>
      <w:autoSpaceDE w:val="0"/>
      <w:autoSpaceDN w:val="0"/>
      <w:adjustRightInd w:val="0"/>
    </w:pPr>
    <w:rPr>
      <w:rFonts w:ascii="Arial" w:hAnsi="Arial" w:cs="Arial"/>
      <w:color w:val="000000"/>
      <w:sz w:val="24"/>
      <w:szCs w:val="24"/>
    </w:rPr>
  </w:style>
  <w:style w:type="paragraph" w:styleId="NormalIndent">
    <w:name w:val="Normal Indent"/>
    <w:basedOn w:val="Normal"/>
    <w:rsid w:val="00DA3C2F"/>
    <w:pPr>
      <w:widowControl w:val="0"/>
      <w:spacing w:after="240"/>
      <w:ind w:left="720" w:hanging="720"/>
      <w:jc w:val="both"/>
    </w:pPr>
    <w:rPr>
      <w:sz w:val="22"/>
    </w:rPr>
  </w:style>
  <w:style w:type="character" w:styleId="FollowedHyperlink">
    <w:name w:val="FollowedHyperlink"/>
    <w:uiPriority w:val="99"/>
    <w:semiHidden/>
    <w:unhideWhenUsed/>
    <w:rsid w:val="00AB2B1C"/>
    <w:rPr>
      <w:color w:val="800080"/>
      <w:u w:val="single"/>
    </w:rPr>
  </w:style>
  <w:style w:type="character" w:styleId="Strong">
    <w:name w:val="Strong"/>
    <w:uiPriority w:val="22"/>
    <w:qFormat/>
    <w:rsid w:val="006B7AA7"/>
    <w:rPr>
      <w:b/>
      <w:bCs/>
    </w:rPr>
  </w:style>
  <w:style w:type="character" w:styleId="CommentReference">
    <w:name w:val="annotation reference"/>
    <w:basedOn w:val="DefaultParagraphFont"/>
    <w:uiPriority w:val="99"/>
    <w:semiHidden/>
    <w:unhideWhenUsed/>
    <w:rsid w:val="00293611"/>
    <w:rPr>
      <w:sz w:val="16"/>
      <w:szCs w:val="16"/>
    </w:rPr>
  </w:style>
  <w:style w:type="paragraph" w:styleId="CommentText">
    <w:name w:val="annotation text"/>
    <w:basedOn w:val="Normal"/>
    <w:link w:val="CommentTextChar"/>
    <w:uiPriority w:val="99"/>
    <w:unhideWhenUsed/>
    <w:rsid w:val="00293611"/>
    <w:rPr>
      <w:sz w:val="20"/>
    </w:rPr>
  </w:style>
  <w:style w:type="character" w:customStyle="1" w:styleId="CommentTextChar">
    <w:name w:val="Comment Text Char"/>
    <w:basedOn w:val="DefaultParagraphFont"/>
    <w:link w:val="CommentText"/>
    <w:uiPriority w:val="99"/>
    <w:rsid w:val="002936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93611"/>
    <w:rPr>
      <w:b/>
      <w:bCs/>
    </w:rPr>
  </w:style>
  <w:style w:type="character" w:customStyle="1" w:styleId="CommentSubjectChar">
    <w:name w:val="Comment Subject Char"/>
    <w:basedOn w:val="CommentTextChar"/>
    <w:link w:val="CommentSubject"/>
    <w:uiPriority w:val="99"/>
    <w:semiHidden/>
    <w:rsid w:val="00293611"/>
    <w:rPr>
      <w:rFonts w:ascii="Arial" w:hAnsi="Arial"/>
      <w:b/>
      <w:bCs/>
      <w:lang w:eastAsia="en-US"/>
    </w:rPr>
  </w:style>
  <w:style w:type="paragraph" w:styleId="Revision">
    <w:name w:val="Revision"/>
    <w:hidden/>
    <w:uiPriority w:val="99"/>
    <w:semiHidden/>
    <w:rsid w:val="0033162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472">
      <w:bodyDiv w:val="1"/>
      <w:marLeft w:val="0"/>
      <w:marRight w:val="0"/>
      <w:marTop w:val="0"/>
      <w:marBottom w:val="0"/>
      <w:divBdr>
        <w:top w:val="none" w:sz="0" w:space="0" w:color="auto"/>
        <w:left w:val="none" w:sz="0" w:space="0" w:color="auto"/>
        <w:bottom w:val="none" w:sz="0" w:space="0" w:color="auto"/>
        <w:right w:val="none" w:sz="0" w:space="0" w:color="auto"/>
      </w:divBdr>
    </w:div>
    <w:div w:id="54201029">
      <w:bodyDiv w:val="1"/>
      <w:marLeft w:val="0"/>
      <w:marRight w:val="0"/>
      <w:marTop w:val="0"/>
      <w:marBottom w:val="0"/>
      <w:divBdr>
        <w:top w:val="none" w:sz="0" w:space="0" w:color="auto"/>
        <w:left w:val="none" w:sz="0" w:space="0" w:color="auto"/>
        <w:bottom w:val="none" w:sz="0" w:space="0" w:color="auto"/>
        <w:right w:val="none" w:sz="0" w:space="0" w:color="auto"/>
      </w:divBdr>
    </w:div>
    <w:div w:id="85925625">
      <w:bodyDiv w:val="1"/>
      <w:marLeft w:val="0"/>
      <w:marRight w:val="0"/>
      <w:marTop w:val="0"/>
      <w:marBottom w:val="0"/>
      <w:divBdr>
        <w:top w:val="none" w:sz="0" w:space="0" w:color="auto"/>
        <w:left w:val="none" w:sz="0" w:space="0" w:color="auto"/>
        <w:bottom w:val="none" w:sz="0" w:space="0" w:color="auto"/>
        <w:right w:val="none" w:sz="0" w:space="0" w:color="auto"/>
      </w:divBdr>
    </w:div>
    <w:div w:id="239828767">
      <w:bodyDiv w:val="1"/>
      <w:marLeft w:val="0"/>
      <w:marRight w:val="0"/>
      <w:marTop w:val="0"/>
      <w:marBottom w:val="0"/>
      <w:divBdr>
        <w:top w:val="none" w:sz="0" w:space="0" w:color="auto"/>
        <w:left w:val="none" w:sz="0" w:space="0" w:color="auto"/>
        <w:bottom w:val="none" w:sz="0" w:space="0" w:color="auto"/>
        <w:right w:val="none" w:sz="0" w:space="0" w:color="auto"/>
      </w:divBdr>
      <w:divsChild>
        <w:div w:id="1228610889">
          <w:marLeft w:val="0"/>
          <w:marRight w:val="0"/>
          <w:marTop w:val="450"/>
          <w:marBottom w:val="0"/>
          <w:divBdr>
            <w:top w:val="single" w:sz="6" w:space="8" w:color="B1B4B6"/>
            <w:left w:val="none" w:sz="0" w:space="0" w:color="auto"/>
            <w:bottom w:val="none" w:sz="0" w:space="0" w:color="auto"/>
            <w:right w:val="none" w:sz="0" w:space="0" w:color="auto"/>
          </w:divBdr>
        </w:div>
      </w:divsChild>
    </w:div>
    <w:div w:id="283971172">
      <w:bodyDiv w:val="1"/>
      <w:marLeft w:val="0"/>
      <w:marRight w:val="0"/>
      <w:marTop w:val="0"/>
      <w:marBottom w:val="0"/>
      <w:divBdr>
        <w:top w:val="none" w:sz="0" w:space="0" w:color="auto"/>
        <w:left w:val="none" w:sz="0" w:space="0" w:color="auto"/>
        <w:bottom w:val="none" w:sz="0" w:space="0" w:color="auto"/>
        <w:right w:val="none" w:sz="0" w:space="0" w:color="auto"/>
      </w:divBdr>
    </w:div>
    <w:div w:id="320741059">
      <w:bodyDiv w:val="1"/>
      <w:marLeft w:val="0"/>
      <w:marRight w:val="0"/>
      <w:marTop w:val="0"/>
      <w:marBottom w:val="0"/>
      <w:divBdr>
        <w:top w:val="none" w:sz="0" w:space="0" w:color="auto"/>
        <w:left w:val="none" w:sz="0" w:space="0" w:color="auto"/>
        <w:bottom w:val="none" w:sz="0" w:space="0" w:color="auto"/>
        <w:right w:val="none" w:sz="0" w:space="0" w:color="auto"/>
      </w:divBdr>
    </w:div>
    <w:div w:id="423653809">
      <w:bodyDiv w:val="1"/>
      <w:marLeft w:val="0"/>
      <w:marRight w:val="0"/>
      <w:marTop w:val="0"/>
      <w:marBottom w:val="0"/>
      <w:divBdr>
        <w:top w:val="none" w:sz="0" w:space="0" w:color="auto"/>
        <w:left w:val="none" w:sz="0" w:space="0" w:color="auto"/>
        <w:bottom w:val="none" w:sz="0" w:space="0" w:color="auto"/>
        <w:right w:val="none" w:sz="0" w:space="0" w:color="auto"/>
      </w:divBdr>
    </w:div>
    <w:div w:id="544681001">
      <w:bodyDiv w:val="1"/>
      <w:marLeft w:val="0"/>
      <w:marRight w:val="0"/>
      <w:marTop w:val="0"/>
      <w:marBottom w:val="0"/>
      <w:divBdr>
        <w:top w:val="none" w:sz="0" w:space="0" w:color="auto"/>
        <w:left w:val="none" w:sz="0" w:space="0" w:color="auto"/>
        <w:bottom w:val="none" w:sz="0" w:space="0" w:color="auto"/>
        <w:right w:val="none" w:sz="0" w:space="0" w:color="auto"/>
      </w:divBdr>
    </w:div>
    <w:div w:id="600837171">
      <w:bodyDiv w:val="1"/>
      <w:marLeft w:val="0"/>
      <w:marRight w:val="0"/>
      <w:marTop w:val="0"/>
      <w:marBottom w:val="0"/>
      <w:divBdr>
        <w:top w:val="none" w:sz="0" w:space="0" w:color="auto"/>
        <w:left w:val="none" w:sz="0" w:space="0" w:color="auto"/>
        <w:bottom w:val="none" w:sz="0" w:space="0" w:color="auto"/>
        <w:right w:val="none" w:sz="0" w:space="0" w:color="auto"/>
      </w:divBdr>
    </w:div>
    <w:div w:id="606735869">
      <w:bodyDiv w:val="1"/>
      <w:marLeft w:val="0"/>
      <w:marRight w:val="0"/>
      <w:marTop w:val="0"/>
      <w:marBottom w:val="0"/>
      <w:divBdr>
        <w:top w:val="none" w:sz="0" w:space="0" w:color="auto"/>
        <w:left w:val="none" w:sz="0" w:space="0" w:color="auto"/>
        <w:bottom w:val="none" w:sz="0" w:space="0" w:color="auto"/>
        <w:right w:val="none" w:sz="0" w:space="0" w:color="auto"/>
      </w:divBdr>
    </w:div>
    <w:div w:id="620456784">
      <w:bodyDiv w:val="1"/>
      <w:marLeft w:val="0"/>
      <w:marRight w:val="0"/>
      <w:marTop w:val="0"/>
      <w:marBottom w:val="0"/>
      <w:divBdr>
        <w:top w:val="none" w:sz="0" w:space="0" w:color="auto"/>
        <w:left w:val="none" w:sz="0" w:space="0" w:color="auto"/>
        <w:bottom w:val="none" w:sz="0" w:space="0" w:color="auto"/>
        <w:right w:val="none" w:sz="0" w:space="0" w:color="auto"/>
      </w:divBdr>
    </w:div>
    <w:div w:id="620648835">
      <w:bodyDiv w:val="1"/>
      <w:marLeft w:val="0"/>
      <w:marRight w:val="0"/>
      <w:marTop w:val="0"/>
      <w:marBottom w:val="0"/>
      <w:divBdr>
        <w:top w:val="none" w:sz="0" w:space="0" w:color="auto"/>
        <w:left w:val="none" w:sz="0" w:space="0" w:color="auto"/>
        <w:bottom w:val="none" w:sz="0" w:space="0" w:color="auto"/>
        <w:right w:val="none" w:sz="0" w:space="0" w:color="auto"/>
      </w:divBdr>
    </w:div>
    <w:div w:id="703555908">
      <w:bodyDiv w:val="1"/>
      <w:marLeft w:val="0"/>
      <w:marRight w:val="0"/>
      <w:marTop w:val="0"/>
      <w:marBottom w:val="0"/>
      <w:divBdr>
        <w:top w:val="none" w:sz="0" w:space="0" w:color="auto"/>
        <w:left w:val="none" w:sz="0" w:space="0" w:color="auto"/>
        <w:bottom w:val="none" w:sz="0" w:space="0" w:color="auto"/>
        <w:right w:val="none" w:sz="0" w:space="0" w:color="auto"/>
      </w:divBdr>
    </w:div>
    <w:div w:id="784815000">
      <w:bodyDiv w:val="1"/>
      <w:marLeft w:val="0"/>
      <w:marRight w:val="0"/>
      <w:marTop w:val="0"/>
      <w:marBottom w:val="0"/>
      <w:divBdr>
        <w:top w:val="none" w:sz="0" w:space="0" w:color="auto"/>
        <w:left w:val="none" w:sz="0" w:space="0" w:color="auto"/>
        <w:bottom w:val="none" w:sz="0" w:space="0" w:color="auto"/>
        <w:right w:val="none" w:sz="0" w:space="0" w:color="auto"/>
      </w:divBdr>
    </w:div>
    <w:div w:id="785271812">
      <w:bodyDiv w:val="1"/>
      <w:marLeft w:val="0"/>
      <w:marRight w:val="0"/>
      <w:marTop w:val="0"/>
      <w:marBottom w:val="0"/>
      <w:divBdr>
        <w:top w:val="none" w:sz="0" w:space="0" w:color="auto"/>
        <w:left w:val="none" w:sz="0" w:space="0" w:color="auto"/>
        <w:bottom w:val="none" w:sz="0" w:space="0" w:color="auto"/>
        <w:right w:val="none" w:sz="0" w:space="0" w:color="auto"/>
      </w:divBdr>
    </w:div>
    <w:div w:id="797574752">
      <w:bodyDiv w:val="1"/>
      <w:marLeft w:val="0"/>
      <w:marRight w:val="0"/>
      <w:marTop w:val="0"/>
      <w:marBottom w:val="0"/>
      <w:divBdr>
        <w:top w:val="none" w:sz="0" w:space="0" w:color="auto"/>
        <w:left w:val="none" w:sz="0" w:space="0" w:color="auto"/>
        <w:bottom w:val="none" w:sz="0" w:space="0" w:color="auto"/>
        <w:right w:val="none" w:sz="0" w:space="0" w:color="auto"/>
      </w:divBdr>
    </w:div>
    <w:div w:id="856235159">
      <w:bodyDiv w:val="1"/>
      <w:marLeft w:val="0"/>
      <w:marRight w:val="0"/>
      <w:marTop w:val="0"/>
      <w:marBottom w:val="0"/>
      <w:divBdr>
        <w:top w:val="none" w:sz="0" w:space="0" w:color="auto"/>
        <w:left w:val="none" w:sz="0" w:space="0" w:color="auto"/>
        <w:bottom w:val="none" w:sz="0" w:space="0" w:color="auto"/>
        <w:right w:val="none" w:sz="0" w:space="0" w:color="auto"/>
      </w:divBdr>
    </w:div>
    <w:div w:id="980768943">
      <w:bodyDiv w:val="1"/>
      <w:marLeft w:val="0"/>
      <w:marRight w:val="0"/>
      <w:marTop w:val="0"/>
      <w:marBottom w:val="0"/>
      <w:divBdr>
        <w:top w:val="none" w:sz="0" w:space="0" w:color="auto"/>
        <w:left w:val="none" w:sz="0" w:space="0" w:color="auto"/>
        <w:bottom w:val="none" w:sz="0" w:space="0" w:color="auto"/>
        <w:right w:val="none" w:sz="0" w:space="0" w:color="auto"/>
      </w:divBdr>
    </w:div>
    <w:div w:id="1163662880">
      <w:bodyDiv w:val="1"/>
      <w:marLeft w:val="0"/>
      <w:marRight w:val="0"/>
      <w:marTop w:val="0"/>
      <w:marBottom w:val="0"/>
      <w:divBdr>
        <w:top w:val="none" w:sz="0" w:space="0" w:color="auto"/>
        <w:left w:val="none" w:sz="0" w:space="0" w:color="auto"/>
        <w:bottom w:val="none" w:sz="0" w:space="0" w:color="auto"/>
        <w:right w:val="none" w:sz="0" w:space="0" w:color="auto"/>
      </w:divBdr>
    </w:div>
    <w:div w:id="1184782612">
      <w:bodyDiv w:val="1"/>
      <w:marLeft w:val="0"/>
      <w:marRight w:val="0"/>
      <w:marTop w:val="0"/>
      <w:marBottom w:val="0"/>
      <w:divBdr>
        <w:top w:val="none" w:sz="0" w:space="0" w:color="auto"/>
        <w:left w:val="none" w:sz="0" w:space="0" w:color="auto"/>
        <w:bottom w:val="none" w:sz="0" w:space="0" w:color="auto"/>
        <w:right w:val="none" w:sz="0" w:space="0" w:color="auto"/>
      </w:divBdr>
    </w:div>
    <w:div w:id="1258102610">
      <w:bodyDiv w:val="1"/>
      <w:marLeft w:val="0"/>
      <w:marRight w:val="0"/>
      <w:marTop w:val="0"/>
      <w:marBottom w:val="0"/>
      <w:divBdr>
        <w:top w:val="none" w:sz="0" w:space="0" w:color="auto"/>
        <w:left w:val="none" w:sz="0" w:space="0" w:color="auto"/>
        <w:bottom w:val="none" w:sz="0" w:space="0" w:color="auto"/>
        <w:right w:val="none" w:sz="0" w:space="0" w:color="auto"/>
      </w:divBdr>
    </w:div>
    <w:div w:id="1413817355">
      <w:bodyDiv w:val="1"/>
      <w:marLeft w:val="0"/>
      <w:marRight w:val="0"/>
      <w:marTop w:val="0"/>
      <w:marBottom w:val="0"/>
      <w:divBdr>
        <w:top w:val="none" w:sz="0" w:space="0" w:color="auto"/>
        <w:left w:val="none" w:sz="0" w:space="0" w:color="auto"/>
        <w:bottom w:val="none" w:sz="0" w:space="0" w:color="auto"/>
        <w:right w:val="none" w:sz="0" w:space="0" w:color="auto"/>
      </w:divBdr>
    </w:div>
    <w:div w:id="1477915761">
      <w:bodyDiv w:val="1"/>
      <w:marLeft w:val="0"/>
      <w:marRight w:val="0"/>
      <w:marTop w:val="0"/>
      <w:marBottom w:val="0"/>
      <w:divBdr>
        <w:top w:val="none" w:sz="0" w:space="0" w:color="auto"/>
        <w:left w:val="none" w:sz="0" w:space="0" w:color="auto"/>
        <w:bottom w:val="none" w:sz="0" w:space="0" w:color="auto"/>
        <w:right w:val="none" w:sz="0" w:space="0" w:color="auto"/>
      </w:divBdr>
    </w:div>
    <w:div w:id="1502159947">
      <w:bodyDiv w:val="1"/>
      <w:marLeft w:val="0"/>
      <w:marRight w:val="0"/>
      <w:marTop w:val="0"/>
      <w:marBottom w:val="0"/>
      <w:divBdr>
        <w:top w:val="none" w:sz="0" w:space="0" w:color="auto"/>
        <w:left w:val="none" w:sz="0" w:space="0" w:color="auto"/>
        <w:bottom w:val="none" w:sz="0" w:space="0" w:color="auto"/>
        <w:right w:val="none" w:sz="0" w:space="0" w:color="auto"/>
      </w:divBdr>
    </w:div>
    <w:div w:id="1528329885">
      <w:bodyDiv w:val="1"/>
      <w:marLeft w:val="0"/>
      <w:marRight w:val="0"/>
      <w:marTop w:val="0"/>
      <w:marBottom w:val="0"/>
      <w:divBdr>
        <w:top w:val="none" w:sz="0" w:space="0" w:color="auto"/>
        <w:left w:val="none" w:sz="0" w:space="0" w:color="auto"/>
        <w:bottom w:val="none" w:sz="0" w:space="0" w:color="auto"/>
        <w:right w:val="none" w:sz="0" w:space="0" w:color="auto"/>
      </w:divBdr>
    </w:div>
    <w:div w:id="1580554661">
      <w:bodyDiv w:val="1"/>
      <w:marLeft w:val="0"/>
      <w:marRight w:val="0"/>
      <w:marTop w:val="0"/>
      <w:marBottom w:val="0"/>
      <w:divBdr>
        <w:top w:val="none" w:sz="0" w:space="0" w:color="auto"/>
        <w:left w:val="none" w:sz="0" w:space="0" w:color="auto"/>
        <w:bottom w:val="none" w:sz="0" w:space="0" w:color="auto"/>
        <w:right w:val="none" w:sz="0" w:space="0" w:color="auto"/>
      </w:divBdr>
    </w:div>
    <w:div w:id="1627737743">
      <w:bodyDiv w:val="1"/>
      <w:marLeft w:val="0"/>
      <w:marRight w:val="0"/>
      <w:marTop w:val="0"/>
      <w:marBottom w:val="0"/>
      <w:divBdr>
        <w:top w:val="none" w:sz="0" w:space="0" w:color="auto"/>
        <w:left w:val="none" w:sz="0" w:space="0" w:color="auto"/>
        <w:bottom w:val="none" w:sz="0" w:space="0" w:color="auto"/>
        <w:right w:val="none" w:sz="0" w:space="0" w:color="auto"/>
      </w:divBdr>
    </w:div>
    <w:div w:id="1722897343">
      <w:bodyDiv w:val="1"/>
      <w:marLeft w:val="0"/>
      <w:marRight w:val="0"/>
      <w:marTop w:val="0"/>
      <w:marBottom w:val="0"/>
      <w:divBdr>
        <w:top w:val="none" w:sz="0" w:space="0" w:color="auto"/>
        <w:left w:val="none" w:sz="0" w:space="0" w:color="auto"/>
        <w:bottom w:val="none" w:sz="0" w:space="0" w:color="auto"/>
        <w:right w:val="none" w:sz="0" w:space="0" w:color="auto"/>
      </w:divBdr>
      <w:divsChild>
        <w:div w:id="1208107709">
          <w:marLeft w:val="0"/>
          <w:marRight w:val="0"/>
          <w:marTop w:val="0"/>
          <w:marBottom w:val="0"/>
          <w:divBdr>
            <w:top w:val="none" w:sz="0" w:space="0" w:color="auto"/>
            <w:left w:val="none" w:sz="0" w:space="0" w:color="auto"/>
            <w:bottom w:val="none" w:sz="0" w:space="0" w:color="auto"/>
            <w:right w:val="none" w:sz="0" w:space="0" w:color="auto"/>
          </w:divBdr>
          <w:divsChild>
            <w:div w:id="82797950">
              <w:marLeft w:val="0"/>
              <w:marRight w:val="0"/>
              <w:marTop w:val="0"/>
              <w:marBottom w:val="0"/>
              <w:divBdr>
                <w:top w:val="none" w:sz="0" w:space="0" w:color="auto"/>
                <w:left w:val="none" w:sz="0" w:space="0" w:color="auto"/>
                <w:bottom w:val="none" w:sz="0" w:space="0" w:color="auto"/>
                <w:right w:val="none" w:sz="0" w:space="0" w:color="auto"/>
              </w:divBdr>
              <w:divsChild>
                <w:div w:id="1511023640">
                  <w:marLeft w:val="0"/>
                  <w:marRight w:val="0"/>
                  <w:marTop w:val="0"/>
                  <w:marBottom w:val="0"/>
                  <w:divBdr>
                    <w:top w:val="none" w:sz="0" w:space="0" w:color="auto"/>
                    <w:left w:val="none" w:sz="0" w:space="0" w:color="auto"/>
                    <w:bottom w:val="none" w:sz="0" w:space="0" w:color="auto"/>
                    <w:right w:val="none" w:sz="0" w:space="0" w:color="auto"/>
                  </w:divBdr>
                  <w:divsChild>
                    <w:div w:id="734472924">
                      <w:marLeft w:val="0"/>
                      <w:marRight w:val="0"/>
                      <w:marTop w:val="0"/>
                      <w:marBottom w:val="0"/>
                      <w:divBdr>
                        <w:top w:val="none" w:sz="0" w:space="0" w:color="auto"/>
                        <w:left w:val="none" w:sz="0" w:space="0" w:color="auto"/>
                        <w:bottom w:val="none" w:sz="0" w:space="0" w:color="auto"/>
                        <w:right w:val="none" w:sz="0" w:space="0" w:color="auto"/>
                      </w:divBdr>
                      <w:divsChild>
                        <w:div w:id="536167146">
                          <w:marLeft w:val="0"/>
                          <w:marRight w:val="0"/>
                          <w:marTop w:val="0"/>
                          <w:marBottom w:val="0"/>
                          <w:divBdr>
                            <w:top w:val="none" w:sz="0" w:space="0" w:color="auto"/>
                            <w:left w:val="none" w:sz="0" w:space="0" w:color="auto"/>
                            <w:bottom w:val="none" w:sz="0" w:space="0" w:color="auto"/>
                            <w:right w:val="none" w:sz="0" w:space="0" w:color="auto"/>
                          </w:divBdr>
                          <w:divsChild>
                            <w:div w:id="579676203">
                              <w:marLeft w:val="0"/>
                              <w:marRight w:val="0"/>
                              <w:marTop w:val="0"/>
                              <w:marBottom w:val="0"/>
                              <w:divBdr>
                                <w:top w:val="none" w:sz="0" w:space="0" w:color="auto"/>
                                <w:left w:val="none" w:sz="0" w:space="0" w:color="auto"/>
                                <w:bottom w:val="none" w:sz="0" w:space="0" w:color="auto"/>
                                <w:right w:val="none" w:sz="0" w:space="0" w:color="auto"/>
                              </w:divBdr>
                              <w:divsChild>
                                <w:div w:id="1674989781">
                                  <w:marLeft w:val="0"/>
                                  <w:marRight w:val="0"/>
                                  <w:marTop w:val="0"/>
                                  <w:marBottom w:val="0"/>
                                  <w:divBdr>
                                    <w:top w:val="none" w:sz="0" w:space="0" w:color="auto"/>
                                    <w:left w:val="none" w:sz="0" w:space="0" w:color="auto"/>
                                    <w:bottom w:val="none" w:sz="0" w:space="0" w:color="auto"/>
                                    <w:right w:val="none" w:sz="0" w:space="0" w:color="auto"/>
                                  </w:divBdr>
                                  <w:divsChild>
                                    <w:div w:id="999043401">
                                      <w:marLeft w:val="0"/>
                                      <w:marRight w:val="0"/>
                                      <w:marTop w:val="0"/>
                                      <w:marBottom w:val="0"/>
                                      <w:divBdr>
                                        <w:top w:val="none" w:sz="0" w:space="0" w:color="auto"/>
                                        <w:left w:val="none" w:sz="0" w:space="0" w:color="auto"/>
                                        <w:bottom w:val="none" w:sz="0" w:space="0" w:color="auto"/>
                                        <w:right w:val="none" w:sz="0" w:space="0" w:color="auto"/>
                                      </w:divBdr>
                                      <w:divsChild>
                                        <w:div w:id="1585993839">
                                          <w:marLeft w:val="0"/>
                                          <w:marRight w:val="0"/>
                                          <w:marTop w:val="0"/>
                                          <w:marBottom w:val="0"/>
                                          <w:divBdr>
                                            <w:top w:val="none" w:sz="0" w:space="0" w:color="auto"/>
                                            <w:left w:val="none" w:sz="0" w:space="0" w:color="auto"/>
                                            <w:bottom w:val="none" w:sz="0" w:space="0" w:color="auto"/>
                                            <w:right w:val="none" w:sz="0" w:space="0" w:color="auto"/>
                                          </w:divBdr>
                                          <w:divsChild>
                                            <w:div w:id="1478105622">
                                              <w:marLeft w:val="0"/>
                                              <w:marRight w:val="0"/>
                                              <w:marTop w:val="0"/>
                                              <w:marBottom w:val="0"/>
                                              <w:divBdr>
                                                <w:top w:val="none" w:sz="0" w:space="0" w:color="auto"/>
                                                <w:left w:val="none" w:sz="0" w:space="0" w:color="auto"/>
                                                <w:bottom w:val="none" w:sz="0" w:space="0" w:color="auto"/>
                                                <w:right w:val="none" w:sz="0" w:space="0" w:color="auto"/>
                                              </w:divBdr>
                                              <w:divsChild>
                                                <w:div w:id="190001878">
                                                  <w:marLeft w:val="0"/>
                                                  <w:marRight w:val="0"/>
                                                  <w:marTop w:val="0"/>
                                                  <w:marBottom w:val="0"/>
                                                  <w:divBdr>
                                                    <w:top w:val="none" w:sz="0" w:space="0" w:color="auto"/>
                                                    <w:left w:val="none" w:sz="0" w:space="0" w:color="auto"/>
                                                    <w:bottom w:val="none" w:sz="0" w:space="0" w:color="auto"/>
                                                    <w:right w:val="none" w:sz="0" w:space="0" w:color="auto"/>
                                                  </w:divBdr>
                                                  <w:divsChild>
                                                    <w:div w:id="20146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4717047">
      <w:bodyDiv w:val="1"/>
      <w:marLeft w:val="0"/>
      <w:marRight w:val="0"/>
      <w:marTop w:val="0"/>
      <w:marBottom w:val="0"/>
      <w:divBdr>
        <w:top w:val="none" w:sz="0" w:space="0" w:color="auto"/>
        <w:left w:val="none" w:sz="0" w:space="0" w:color="auto"/>
        <w:bottom w:val="none" w:sz="0" w:space="0" w:color="auto"/>
        <w:right w:val="none" w:sz="0" w:space="0" w:color="auto"/>
      </w:divBdr>
    </w:div>
    <w:div w:id="2015302447">
      <w:bodyDiv w:val="1"/>
      <w:marLeft w:val="0"/>
      <w:marRight w:val="0"/>
      <w:marTop w:val="0"/>
      <w:marBottom w:val="0"/>
      <w:divBdr>
        <w:top w:val="none" w:sz="0" w:space="0" w:color="auto"/>
        <w:left w:val="none" w:sz="0" w:space="0" w:color="auto"/>
        <w:bottom w:val="none" w:sz="0" w:space="0" w:color="auto"/>
        <w:right w:val="none" w:sz="0" w:space="0" w:color="auto"/>
      </w:divBdr>
    </w:div>
    <w:div w:id="2047019050">
      <w:bodyDiv w:val="1"/>
      <w:marLeft w:val="0"/>
      <w:marRight w:val="0"/>
      <w:marTop w:val="0"/>
      <w:marBottom w:val="0"/>
      <w:divBdr>
        <w:top w:val="none" w:sz="0" w:space="0" w:color="auto"/>
        <w:left w:val="none" w:sz="0" w:space="0" w:color="auto"/>
        <w:bottom w:val="none" w:sz="0" w:space="0" w:color="auto"/>
        <w:right w:val="none" w:sz="0" w:space="0" w:color="auto"/>
      </w:divBdr>
    </w:div>
    <w:div w:id="2116557276">
      <w:bodyDiv w:val="1"/>
      <w:marLeft w:val="0"/>
      <w:marRight w:val="0"/>
      <w:marTop w:val="0"/>
      <w:marBottom w:val="0"/>
      <w:divBdr>
        <w:top w:val="none" w:sz="0" w:space="0" w:color="auto"/>
        <w:left w:val="none" w:sz="0" w:space="0" w:color="auto"/>
        <w:bottom w:val="none" w:sz="0" w:space="0" w:color="auto"/>
        <w:right w:val="none" w:sz="0" w:space="0" w:color="auto"/>
      </w:divBdr>
    </w:div>
    <w:div w:id="2118021054">
      <w:bodyDiv w:val="1"/>
      <w:marLeft w:val="0"/>
      <w:marRight w:val="0"/>
      <w:marTop w:val="0"/>
      <w:marBottom w:val="0"/>
      <w:divBdr>
        <w:top w:val="none" w:sz="0" w:space="0" w:color="auto"/>
        <w:left w:val="none" w:sz="0" w:space="0" w:color="auto"/>
        <w:bottom w:val="none" w:sz="0" w:space="0" w:color="auto"/>
        <w:right w:val="none" w:sz="0" w:space="0" w:color="auto"/>
      </w:divBdr>
    </w:div>
    <w:div w:id="21285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ender-pay-gap.service.gov.uk/" TargetMode="External"/><Relationship Id="rId18" Type="http://schemas.microsoft.com/office/2016/09/relationships/commentsIds" Target="commentsIds.xml"/><Relationship Id="rId26" Type="http://schemas.openxmlformats.org/officeDocument/2006/relationships/hyperlink" Target="https://www.gov.uk/government/publications/special-severance-payments/statutory-guidance-on-the-making-and-disclosure-of-special-severance-payments-by-local-authorities-in-england" TargetMode="External"/><Relationship Id="rId39" Type="http://schemas.openxmlformats.org/officeDocument/2006/relationships/fontTable" Target="fontTable.xml"/><Relationship Id="rId21" Type="http://schemas.openxmlformats.org/officeDocument/2006/relationships/hyperlink" Target="https://www.gov.uk/government/publications/special-severance-payments/statutory-guidance-on-the-making-and-disclosure-of-special-severance-payments-by-local-authorities-in-england" TargetMode="External"/><Relationship Id="rId34" Type="http://schemas.openxmlformats.org/officeDocument/2006/relationships/hyperlink" Target="https://www.gov.uk/government/publications/local-government-transparency-code-20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legislation.gov.uk/ukpga/1999/27/section/3" TargetMode="External"/><Relationship Id="rId29" Type="http://schemas.openxmlformats.org/officeDocument/2006/relationships/hyperlink" Target="https://www.legislation.gov.uk/ukpga/2009/20/section/8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ender-pay-gap-reporting-what-employers-must-publish" TargetMode="External"/><Relationship Id="rId24" Type="http://schemas.openxmlformats.org/officeDocument/2006/relationships/hyperlink" Target="https://www.gov.uk/government/publications/special-severance-payments/statutory-guidance-on-the-making-and-disclosure-of-special-severance-payments-by-local-authorities-in-england" TargetMode="External"/><Relationship Id="rId32" Type="http://schemas.openxmlformats.org/officeDocument/2006/relationships/hyperlink" Target="https://www.gov.uk/government/publications/special-severance-payments/statutory-guidance-on-the-making-and-disclosure-of-special-severance-payments-by-local-authorities-in-england" TargetMode="External"/><Relationship Id="rId37" Type="http://schemas.openxmlformats.org/officeDocument/2006/relationships/hyperlink" Target="https://www.gov.uk/government/publications/special-severance-payments/statutory-guidance-on-the-making-and-disclosure-of-special-severance-payments-by-local-authorities-in-england"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edling.gov.uk/media/gedlingboroughcouncil/documents/council/aboutus/policies/Pension%20Discretions%20Policy%20(July%202019).pdf" TargetMode="External"/><Relationship Id="rId23" Type="http://schemas.openxmlformats.org/officeDocument/2006/relationships/hyperlink" Target="https://www.gov.uk/government/publications/special-severance-payments/statutory-guidance-on-the-making-and-disclosure-of-special-severance-payments-by-local-authorities-in-england" TargetMode="External"/><Relationship Id="rId28" Type="http://schemas.openxmlformats.org/officeDocument/2006/relationships/hyperlink" Target="https://www.legislation.gov.uk/ukpga/1985/51/section/10" TargetMode="External"/><Relationship Id="rId36" Type="http://schemas.openxmlformats.org/officeDocument/2006/relationships/hyperlink" Target="https://www.gov.uk/government/publications/openness-and-accountability-in-local-pay-supplementary-guidance" TargetMode="External"/><Relationship Id="rId10" Type="http://schemas.openxmlformats.org/officeDocument/2006/relationships/hyperlink" Target="https://www.gov.uk/report-gender-pay-gap-data" TargetMode="External"/><Relationship Id="rId19" Type="http://schemas.microsoft.com/office/2018/08/relationships/commentsExtensible" Target="commentsExtensible.xml"/><Relationship Id="rId31" Type="http://schemas.openxmlformats.org/officeDocument/2006/relationships/hyperlink" Target="https://www.legislation.gov.uk/ukpga/2008/26/section/102E" TargetMode="External"/><Relationship Id="rId4" Type="http://schemas.openxmlformats.org/officeDocument/2006/relationships/settings" Target="settings.xml"/><Relationship Id="rId9" Type="http://schemas.openxmlformats.org/officeDocument/2006/relationships/hyperlink" Target="https://www.gov.uk/guidance/gender-pay-gap-reporting-what-employers-must-publish" TargetMode="External"/><Relationship Id="rId14" Type="http://schemas.openxmlformats.org/officeDocument/2006/relationships/hyperlink" Target="https://www.gedling.gov.uk/media/gedlingboroughcouncil/documents/council/aboutus/policies/Pension%20Discretions%20Policy%20(July%202019).pdf" TargetMode="External"/><Relationship Id="rId22" Type="http://schemas.openxmlformats.org/officeDocument/2006/relationships/hyperlink" Target="https://www.gov.uk/government/publications/special-severance-payments/statutory-guidance-on-the-making-and-disclosure-of-special-severance-payments-by-local-authorities-in-england" TargetMode="External"/><Relationship Id="rId27" Type="http://schemas.openxmlformats.org/officeDocument/2006/relationships/hyperlink" Target="https://www.legislation.gov.uk/ukpga/2004/21/section/2" TargetMode="External"/><Relationship Id="rId30" Type="http://schemas.openxmlformats.org/officeDocument/2006/relationships/hyperlink" Target="https://www.legislation.gov.uk/ukpga/2009/20/section/103" TargetMode="External"/><Relationship Id="rId35" Type="http://schemas.openxmlformats.org/officeDocument/2006/relationships/hyperlink" Target="https://www.gov.uk/government/publications/special-severance-payments/statutory-guidance-on-the-making-and-disclosure-of-special-severance-payments-by-local-authorities-in-england"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gedling.gov.uk/council/aboutus/financeandaccounts/opendata/genderpaygapdata/" TargetMode="External"/><Relationship Id="rId17" Type="http://schemas.microsoft.com/office/2011/relationships/commentsExtended" Target="commentsExtended.xml"/><Relationship Id="rId25" Type="http://schemas.openxmlformats.org/officeDocument/2006/relationships/hyperlink" Target="https://www.gov.uk/government/publications/special-severance-payments/statutory-guidance-on-the-making-and-disclosure-of-special-severance-payments-by-local-authorities-in-england" TargetMode="External"/><Relationship Id="rId33" Type="http://schemas.openxmlformats.org/officeDocument/2006/relationships/hyperlink" Target="https://www.gov.uk/government/publications/special-severance-payments/statutory-guidance-on-the-making-and-disclosure-of-special-severance-payments-by-local-authorities-in-england" TargetMode="External"/><Relationship Id="rId38" Type="http://schemas.openxmlformats.org/officeDocument/2006/relationships/hyperlink" Target="https://www.gov.uk/government/publications/special-severance-payments/statutory-guidance-on-the-making-and-disclosure-of-special-severance-payments-by-local-authoritie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31737-E72D-46C2-A7E6-8FB5FB0E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23926</Words>
  <Characters>132403</Characters>
  <Application>Microsoft Office Word</Application>
  <DocSecurity>0</DocSecurity>
  <Lines>1103</Lines>
  <Paragraphs>312</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156017</CharactersWithSpaces>
  <SharedDoc>false</SharedDoc>
  <HLinks>
    <vt:vector size="42" baseType="variant">
      <vt:variant>
        <vt:i4>1310740</vt:i4>
      </vt:variant>
      <vt:variant>
        <vt:i4>18</vt:i4>
      </vt:variant>
      <vt:variant>
        <vt:i4>0</vt:i4>
      </vt:variant>
      <vt:variant>
        <vt:i4>5</vt:i4>
      </vt:variant>
      <vt:variant>
        <vt:lpwstr>https://www.gedling.gov.uk/media/gedlingboroughcouncil/documents/council/aboutus/policies/Pension Discretions Policy (July 2019).pdf</vt:lpwstr>
      </vt:variant>
      <vt:variant>
        <vt:lpwstr/>
      </vt:variant>
      <vt:variant>
        <vt:i4>1310740</vt:i4>
      </vt:variant>
      <vt:variant>
        <vt:i4>15</vt:i4>
      </vt:variant>
      <vt:variant>
        <vt:i4>0</vt:i4>
      </vt:variant>
      <vt:variant>
        <vt:i4>5</vt:i4>
      </vt:variant>
      <vt:variant>
        <vt:lpwstr>https://www.gedling.gov.uk/media/gedlingboroughcouncil/documents/council/aboutus/policies/Pension Discretions Policy (July 2019).pdf</vt:lpwstr>
      </vt:variant>
      <vt:variant>
        <vt:lpwstr/>
      </vt:variant>
      <vt:variant>
        <vt:i4>3801206</vt:i4>
      </vt:variant>
      <vt:variant>
        <vt:i4>12</vt:i4>
      </vt:variant>
      <vt:variant>
        <vt:i4>0</vt:i4>
      </vt:variant>
      <vt:variant>
        <vt:i4>5</vt:i4>
      </vt:variant>
      <vt:variant>
        <vt:lpwstr>https://gender-pay-gap.service.gov.uk/</vt:lpwstr>
      </vt:variant>
      <vt:variant>
        <vt:lpwstr/>
      </vt:variant>
      <vt:variant>
        <vt:i4>2621544</vt:i4>
      </vt:variant>
      <vt:variant>
        <vt:i4>9</vt:i4>
      </vt:variant>
      <vt:variant>
        <vt:i4>0</vt:i4>
      </vt:variant>
      <vt:variant>
        <vt:i4>5</vt:i4>
      </vt:variant>
      <vt:variant>
        <vt:lpwstr>http://www.gedling.gov.uk/council/aboutus/financeandaccounts/opendata/genderpaygapdata/</vt:lpwstr>
      </vt:variant>
      <vt:variant>
        <vt:lpwstr/>
      </vt:variant>
      <vt:variant>
        <vt:i4>6029380</vt:i4>
      </vt:variant>
      <vt:variant>
        <vt:i4>6</vt:i4>
      </vt:variant>
      <vt:variant>
        <vt:i4>0</vt:i4>
      </vt:variant>
      <vt:variant>
        <vt:i4>5</vt:i4>
      </vt:variant>
      <vt:variant>
        <vt:lpwstr>https://www.gov.uk/guidance/gender-pay-gap-reporting-what-employers-must-publish</vt:lpwstr>
      </vt:variant>
      <vt:variant>
        <vt:lpwstr/>
      </vt:variant>
      <vt:variant>
        <vt:i4>4325461</vt:i4>
      </vt:variant>
      <vt:variant>
        <vt:i4>3</vt:i4>
      </vt:variant>
      <vt:variant>
        <vt:i4>0</vt:i4>
      </vt:variant>
      <vt:variant>
        <vt:i4>5</vt:i4>
      </vt:variant>
      <vt:variant>
        <vt:lpwstr>https://www.gov.uk/report-gender-pay-gap-data</vt:lpwstr>
      </vt:variant>
      <vt:variant>
        <vt:lpwstr/>
      </vt:variant>
      <vt:variant>
        <vt:i4>6029380</vt:i4>
      </vt:variant>
      <vt:variant>
        <vt:i4>0</vt:i4>
      </vt:variant>
      <vt:variant>
        <vt:i4>0</vt:i4>
      </vt:variant>
      <vt:variant>
        <vt:i4>5</vt:i4>
      </vt:variant>
      <vt:variant>
        <vt:lpwstr>https://www.gov.uk/guidance/gender-pay-gap-reporting-what-employers-must-publish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da3</dc:creator>
  <cp:keywords/>
  <cp:lastModifiedBy>Jennifer Lovett</cp:lastModifiedBy>
  <cp:revision>2</cp:revision>
  <cp:lastPrinted>2018-11-08T15:17:00Z</cp:lastPrinted>
  <dcterms:created xsi:type="dcterms:W3CDTF">2024-12-31T18:54:00Z</dcterms:created>
  <dcterms:modified xsi:type="dcterms:W3CDTF">2024-12-31T18:54:00Z</dcterms:modified>
</cp:coreProperties>
</file>